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3C5" w:rsidRPr="00DD41EF" w:rsidRDefault="00FA37AB" w:rsidP="002D046F">
      <w:pPr>
        <w:keepNext/>
        <w:keepLines/>
        <w:widowControl/>
        <w:tabs>
          <w:tab w:val="left" w:pos="-720"/>
          <w:tab w:val="left" w:pos="720"/>
          <w:tab w:val="left" w:pos="1440"/>
        </w:tabs>
        <w:suppressAutoHyphens/>
        <w:spacing w:after="240"/>
        <w:ind w:left="-142"/>
        <w:rPr>
          <w:rFonts w:ascii="Segoe UI Light" w:hAnsi="Segoe UI Light" w:cs="Segoe UI Light"/>
          <w:b/>
          <w:bCs/>
          <w:color w:val="2E3335"/>
          <w:sz w:val="18"/>
          <w:szCs w:val="18"/>
        </w:rPr>
      </w:pPr>
      <w:r w:rsidRPr="00DD41EF">
        <w:rPr>
          <w:noProof/>
        </w:rPr>
        <w:drawing>
          <wp:anchor distT="0" distB="0" distL="114300" distR="114300" simplePos="0" relativeHeight="251655680" behindDoc="0" locked="0" layoutInCell="1" allowOverlap="1">
            <wp:simplePos x="0" y="0"/>
            <wp:positionH relativeFrom="column">
              <wp:posOffset>2855027</wp:posOffset>
            </wp:positionH>
            <wp:positionV relativeFrom="paragraph">
              <wp:posOffset>8237721</wp:posOffset>
            </wp:positionV>
            <wp:extent cx="3408045" cy="953135"/>
            <wp:effectExtent l="0" t="0" r="0" b="0"/>
            <wp:wrapNone/>
            <wp:docPr id="8" name="Picture 8" descr="INTRALOT Logo 2018 _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RALOT Logo 2018 _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04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1EF">
        <w:rPr>
          <w:noProof/>
        </w:rPr>
        <mc:AlternateContent>
          <mc:Choice Requires="wps">
            <w:drawing>
              <wp:anchor distT="45720" distB="45720" distL="114300" distR="114300" simplePos="0" relativeHeight="251656704" behindDoc="0" locked="0" layoutInCell="1" allowOverlap="1">
                <wp:simplePos x="0" y="0"/>
                <wp:positionH relativeFrom="column">
                  <wp:posOffset>194945</wp:posOffset>
                </wp:positionH>
                <wp:positionV relativeFrom="paragraph">
                  <wp:posOffset>1224280</wp:posOffset>
                </wp:positionV>
                <wp:extent cx="6249035" cy="282194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282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4F9" w:rsidRPr="005A06B9" w:rsidRDefault="006874F9" w:rsidP="00FA37AB">
                            <w:pPr>
                              <w:rPr>
                                <w:rFonts w:ascii="Segoe UI" w:hAnsi="Segoe UI" w:cs="Segoe UI"/>
                                <w:noProof/>
                                <w:color w:val="2E3335"/>
                                <w:sz w:val="40"/>
                                <w:szCs w:val="18"/>
                                <w:lang w:eastAsia="el-GR"/>
                              </w:rPr>
                            </w:pPr>
                            <w:r w:rsidRPr="005A06B9">
                              <w:rPr>
                                <w:rFonts w:ascii="Segoe UI" w:hAnsi="Segoe UI" w:cs="Segoe UI"/>
                                <w:noProof/>
                                <w:color w:val="2E3335"/>
                                <w:sz w:val="40"/>
                                <w:szCs w:val="18"/>
                                <w:lang w:eastAsia="el-GR"/>
                              </w:rPr>
                              <w:t>INTRALOT Group</w:t>
                            </w:r>
                          </w:p>
                          <w:p w:rsidR="005A06B9" w:rsidRDefault="005A06B9" w:rsidP="00FA37AB">
                            <w:pPr>
                              <w:rPr>
                                <w:rFonts w:ascii="Segoe UI Light" w:hAnsi="Segoe UI Light" w:cs="Segoe UI Light"/>
                                <w:noProof/>
                                <w:color w:val="FF5000"/>
                                <w:sz w:val="72"/>
                                <w:szCs w:val="18"/>
                                <w:lang w:eastAsia="el-GR"/>
                              </w:rPr>
                            </w:pPr>
                            <w:r>
                              <w:rPr>
                                <w:rFonts w:ascii="Segoe UI Light" w:hAnsi="Segoe UI Light" w:cs="Segoe UI Light"/>
                                <w:noProof/>
                                <w:color w:val="FF5000"/>
                                <w:sz w:val="72"/>
                                <w:szCs w:val="18"/>
                                <w:lang w:eastAsia="el-GR"/>
                              </w:rPr>
                              <w:t>ANNOUNCEMENT</w:t>
                            </w:r>
                          </w:p>
                          <w:p w:rsidR="00FA37AB" w:rsidRDefault="005A06B9" w:rsidP="00FA37AB">
                            <w:pPr>
                              <w:rPr>
                                <w:rFonts w:ascii="Segoe UI Light" w:hAnsi="Segoe UI Light" w:cs="Segoe UI Light"/>
                                <w:noProof/>
                                <w:color w:val="FF5000"/>
                                <w:sz w:val="72"/>
                                <w:szCs w:val="18"/>
                                <w:lang w:eastAsia="el-GR"/>
                              </w:rPr>
                            </w:pPr>
                            <w:r w:rsidRPr="005A06B9">
                              <w:rPr>
                                <w:rFonts w:ascii="Segoe UI Light" w:hAnsi="Segoe UI Light" w:cs="Segoe UI Light"/>
                                <w:noProof/>
                                <w:color w:val="FF5000"/>
                                <w:sz w:val="72"/>
                                <w:szCs w:val="18"/>
                                <w:lang w:eastAsia="el-GR"/>
                              </w:rPr>
                              <w:t>OF FINANCIAL RESULTS</w:t>
                            </w:r>
                          </w:p>
                          <w:p w:rsidR="005A06B9" w:rsidRPr="00FA37AB" w:rsidRDefault="005A06B9" w:rsidP="00FA37AB">
                            <w:pPr>
                              <w:rPr>
                                <w:rFonts w:ascii="Segoe UI" w:hAnsi="Segoe UI" w:cs="Segoe UI"/>
                                <w:noProof/>
                                <w:color w:val="FF5000"/>
                                <w:sz w:val="72"/>
                                <w:szCs w:val="18"/>
                                <w:lang w:eastAsia="el-GR"/>
                              </w:rPr>
                            </w:pPr>
                          </w:p>
                          <w:p w:rsidR="005A06B9" w:rsidRPr="00D77146" w:rsidRDefault="005A06B9" w:rsidP="00FA37AB">
                            <w:pPr>
                              <w:rPr>
                                <w:rFonts w:ascii="Segoe UI" w:hAnsi="Segoe UI" w:cs="Segoe UI"/>
                                <w:b/>
                                <w:noProof/>
                                <w:color w:val="2E3335"/>
                                <w:sz w:val="28"/>
                                <w:szCs w:val="18"/>
                                <w:lang w:eastAsia="el-GR"/>
                              </w:rPr>
                            </w:pPr>
                            <w:r w:rsidRPr="00D77146">
                              <w:rPr>
                                <w:rFonts w:ascii="Segoe UI" w:hAnsi="Segoe UI" w:cs="Segoe UI"/>
                                <w:b/>
                                <w:noProof/>
                                <w:color w:val="2E3335"/>
                                <w:sz w:val="28"/>
                                <w:szCs w:val="18"/>
                                <w:lang w:eastAsia="el-GR"/>
                              </w:rPr>
                              <w:t>for the three month period</w:t>
                            </w:r>
                          </w:p>
                          <w:p w:rsidR="006874F9" w:rsidRPr="00D77146" w:rsidRDefault="005A06B9" w:rsidP="00FA37AB">
                            <w:pPr>
                              <w:rPr>
                                <w:rFonts w:ascii="Segoe UI" w:hAnsi="Segoe UI" w:cs="Segoe UI"/>
                                <w:b/>
                                <w:noProof/>
                                <w:color w:val="2E3335"/>
                                <w:sz w:val="56"/>
                                <w:szCs w:val="18"/>
                                <w:lang w:eastAsia="el-GR"/>
                              </w:rPr>
                            </w:pPr>
                            <w:r w:rsidRPr="00D77146">
                              <w:rPr>
                                <w:rFonts w:ascii="Segoe UI" w:hAnsi="Segoe UI" w:cs="Segoe UI"/>
                                <w:b/>
                                <w:noProof/>
                                <w:color w:val="2E3335"/>
                                <w:sz w:val="28"/>
                                <w:szCs w:val="18"/>
                                <w:lang w:eastAsia="el-GR"/>
                              </w:rPr>
                              <w:t>ended March 31st, 2018</w:t>
                            </w:r>
                            <w:r w:rsidR="006874F9" w:rsidRPr="00D77146">
                              <w:rPr>
                                <w:rFonts w:ascii="Segoe UI" w:hAnsi="Segoe UI" w:cs="Segoe UI"/>
                                <w:b/>
                                <w:noProof/>
                                <w:color w:val="2E3335"/>
                                <w:sz w:val="56"/>
                                <w:szCs w:val="18"/>
                                <w:lang w:eastAsia="el-G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15.35pt;margin-top:96.4pt;width:492.05pt;height:222.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49tw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" filled="f" stroked="f">
                <v:textbox>
                  <w:txbxContent>
                    <w:p w:rsidR="006874F9" w:rsidRPr="005A06B9" w:rsidRDefault="006874F9" w:rsidP="00FA37AB">
                      <w:pPr>
                        <w:rPr>
                          <w:rFonts w:ascii="Segoe UI" w:hAnsi="Segoe UI" w:cs="Segoe UI"/>
                          <w:noProof/>
                          <w:color w:val="2E3335"/>
                          <w:sz w:val="40"/>
                          <w:szCs w:val="18"/>
                          <w:lang w:eastAsia="el-GR"/>
                        </w:rPr>
                      </w:pPr>
                      <w:r w:rsidRPr="005A06B9">
                        <w:rPr>
                          <w:rFonts w:ascii="Segoe UI" w:hAnsi="Segoe UI" w:cs="Segoe UI"/>
                          <w:noProof/>
                          <w:color w:val="2E3335"/>
                          <w:sz w:val="40"/>
                          <w:szCs w:val="18"/>
                          <w:lang w:eastAsia="el-GR"/>
                        </w:rPr>
                        <w:t>INTRALOT Group</w:t>
                      </w:r>
                    </w:p>
                    <w:p w:rsidR="005A06B9" w:rsidRDefault="005A06B9" w:rsidP="00FA37AB">
                      <w:pPr>
                        <w:rPr>
                          <w:rFonts w:ascii="Segoe UI Light" w:hAnsi="Segoe UI Light" w:cs="Segoe UI Light"/>
                          <w:noProof/>
                          <w:color w:val="FF5000"/>
                          <w:sz w:val="72"/>
                          <w:szCs w:val="18"/>
                          <w:lang w:eastAsia="el-GR"/>
                        </w:rPr>
                      </w:pPr>
                      <w:r>
                        <w:rPr>
                          <w:rFonts w:ascii="Segoe UI Light" w:hAnsi="Segoe UI Light" w:cs="Segoe UI Light"/>
                          <w:noProof/>
                          <w:color w:val="FF5000"/>
                          <w:sz w:val="72"/>
                          <w:szCs w:val="18"/>
                          <w:lang w:eastAsia="el-GR"/>
                        </w:rPr>
                        <w:t>ANNOUNCEMENT</w:t>
                      </w:r>
                    </w:p>
                    <w:p w:rsidR="00FA37AB" w:rsidRDefault="005A06B9" w:rsidP="00FA37AB">
                      <w:pPr>
                        <w:rPr>
                          <w:rFonts w:ascii="Segoe UI Light" w:hAnsi="Segoe UI Light" w:cs="Segoe UI Light"/>
                          <w:noProof/>
                          <w:color w:val="FF5000"/>
                          <w:sz w:val="72"/>
                          <w:szCs w:val="18"/>
                          <w:lang w:eastAsia="el-GR"/>
                        </w:rPr>
                      </w:pPr>
                      <w:r w:rsidRPr="005A06B9">
                        <w:rPr>
                          <w:rFonts w:ascii="Segoe UI Light" w:hAnsi="Segoe UI Light" w:cs="Segoe UI Light"/>
                          <w:noProof/>
                          <w:color w:val="FF5000"/>
                          <w:sz w:val="72"/>
                          <w:szCs w:val="18"/>
                          <w:lang w:eastAsia="el-GR"/>
                        </w:rPr>
                        <w:t>OF FINANCIAL RESULTS</w:t>
                      </w:r>
                    </w:p>
                    <w:p w:rsidR="005A06B9" w:rsidRPr="00FA37AB" w:rsidRDefault="005A06B9" w:rsidP="00FA37AB">
                      <w:pPr>
                        <w:rPr>
                          <w:rFonts w:ascii="Segoe UI" w:hAnsi="Segoe UI" w:cs="Segoe UI"/>
                          <w:noProof/>
                          <w:color w:val="FF5000"/>
                          <w:sz w:val="72"/>
                          <w:szCs w:val="18"/>
                          <w:lang w:eastAsia="el-GR"/>
                        </w:rPr>
                      </w:pPr>
                    </w:p>
                    <w:p w:rsidR="005A06B9" w:rsidRPr="00D77146" w:rsidRDefault="005A06B9" w:rsidP="00FA37AB">
                      <w:pPr>
                        <w:rPr>
                          <w:rFonts w:ascii="Segoe UI" w:hAnsi="Segoe UI" w:cs="Segoe UI"/>
                          <w:b/>
                          <w:noProof/>
                          <w:color w:val="2E3335"/>
                          <w:sz w:val="28"/>
                          <w:szCs w:val="18"/>
                          <w:lang w:eastAsia="el-GR"/>
                        </w:rPr>
                      </w:pPr>
                      <w:r w:rsidRPr="00D77146">
                        <w:rPr>
                          <w:rFonts w:ascii="Segoe UI" w:hAnsi="Segoe UI" w:cs="Segoe UI"/>
                          <w:b/>
                          <w:noProof/>
                          <w:color w:val="2E3335"/>
                          <w:sz w:val="28"/>
                          <w:szCs w:val="18"/>
                          <w:lang w:eastAsia="el-GR"/>
                        </w:rPr>
                        <w:t>for the three month period</w:t>
                      </w:r>
                    </w:p>
                    <w:p w:rsidR="006874F9" w:rsidRPr="00D77146" w:rsidRDefault="005A06B9" w:rsidP="00FA37AB">
                      <w:pPr>
                        <w:rPr>
                          <w:rFonts w:ascii="Segoe UI" w:hAnsi="Segoe UI" w:cs="Segoe UI"/>
                          <w:b/>
                          <w:noProof/>
                          <w:color w:val="2E3335"/>
                          <w:sz w:val="56"/>
                          <w:szCs w:val="18"/>
                          <w:lang w:eastAsia="el-GR"/>
                        </w:rPr>
                      </w:pPr>
                      <w:r w:rsidRPr="00D77146">
                        <w:rPr>
                          <w:rFonts w:ascii="Segoe UI" w:hAnsi="Segoe UI" w:cs="Segoe UI"/>
                          <w:b/>
                          <w:noProof/>
                          <w:color w:val="2E3335"/>
                          <w:sz w:val="28"/>
                          <w:szCs w:val="18"/>
                          <w:lang w:eastAsia="el-GR"/>
                        </w:rPr>
                        <w:t>ended March 31st, 2018</w:t>
                      </w:r>
                      <w:r w:rsidR="006874F9" w:rsidRPr="00D77146">
                        <w:rPr>
                          <w:rFonts w:ascii="Segoe UI" w:hAnsi="Segoe UI" w:cs="Segoe UI"/>
                          <w:b/>
                          <w:noProof/>
                          <w:color w:val="2E3335"/>
                          <w:sz w:val="56"/>
                          <w:szCs w:val="18"/>
                          <w:lang w:eastAsia="el-GR"/>
                        </w:rPr>
                        <w:t xml:space="preserve"> </w:t>
                      </w:r>
                    </w:p>
                  </w:txbxContent>
                </v:textbox>
                <w10:wrap type="square"/>
              </v:shape>
            </w:pict>
          </mc:Fallback>
        </mc:AlternateContent>
      </w:r>
      <w:r w:rsidRPr="00DD41EF">
        <w:rPr>
          <w:noProof/>
        </w:rPr>
        <w:drawing>
          <wp:anchor distT="0" distB="0" distL="114300" distR="114300" simplePos="0" relativeHeight="251662848" behindDoc="1" locked="0" layoutInCell="1" allowOverlap="1">
            <wp:simplePos x="0" y="0"/>
            <wp:positionH relativeFrom="column">
              <wp:posOffset>2789555</wp:posOffset>
            </wp:positionH>
            <wp:positionV relativeFrom="paragraph">
              <wp:posOffset>-2040890</wp:posOffset>
            </wp:positionV>
            <wp:extent cx="71755" cy="10292715"/>
            <wp:effectExtent l="0" t="5080"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9">
                      <a:extLst>
                        <a:ext uri="{28A0092B-C50C-407E-A947-70E740481C1C}">
                          <a14:useLocalDpi xmlns:a14="http://schemas.microsoft.com/office/drawing/2010/main" val="0"/>
                        </a:ext>
                      </a:extLst>
                    </a:blip>
                    <a:srcRect l="871" t="-1184" r="98138" b="1184"/>
                    <a:stretch>
                      <a:fillRect/>
                    </a:stretch>
                  </pic:blipFill>
                  <pic:spPr bwMode="auto">
                    <a:xfrm rot="-5400000">
                      <a:off x="0" y="0"/>
                      <a:ext cx="71755" cy="1029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1EF">
        <w:rPr>
          <w:noProof/>
        </w:rPr>
        <mc:AlternateContent>
          <mc:Choice Requires="wps">
            <w:drawing>
              <wp:anchor distT="0" distB="0" distL="114300" distR="114300" simplePos="0" relativeHeight="251663872" behindDoc="1" locked="0" layoutInCell="1" allowOverlap="1">
                <wp:simplePos x="0" y="0"/>
                <wp:positionH relativeFrom="column">
                  <wp:posOffset>994410</wp:posOffset>
                </wp:positionH>
                <wp:positionV relativeFrom="paragraph">
                  <wp:posOffset>1720215</wp:posOffset>
                </wp:positionV>
                <wp:extent cx="4685030" cy="121412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7AB" w:rsidRPr="00B773E6" w:rsidRDefault="00FA37AB" w:rsidP="00FA37AB">
                            <w:pPr>
                              <w:rPr>
                                <w:rFonts w:ascii="Segoe UI Light" w:hAnsi="Segoe UI Light" w:cs="Segoe UI Light"/>
                                <w:color w:val="FF5000"/>
                                <w:sz w:val="144"/>
                                <w:szCs w:val="5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 o:spid="_x0000_s1027" type="#_x0000_t202" style="position:absolute;left:0;text-align:left;margin-left:78.3pt;margin-top:135.45pt;width:368.9pt;height:9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R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" filled="f" stroked="f">
                <v:textbox>
                  <w:txbxContent>
                    <w:p w:rsidR="00FA37AB" w:rsidRPr="00B773E6" w:rsidRDefault="00FA37AB" w:rsidP="00FA37AB">
                      <w:pPr>
                        <w:rPr>
                          <w:rFonts w:ascii="Segoe UI Light" w:hAnsi="Segoe UI Light" w:cs="Segoe UI Light"/>
                          <w:color w:val="FF5000"/>
                          <w:sz w:val="144"/>
                          <w:szCs w:val="51"/>
                        </w:rPr>
                      </w:pPr>
                    </w:p>
                  </w:txbxContent>
                </v:textbox>
              </v:shape>
            </w:pict>
          </mc:Fallback>
        </mc:AlternateContent>
      </w:r>
      <w:r w:rsidR="003F0F9F" w:rsidRPr="00DD41EF">
        <w:rPr>
          <w:rFonts w:ascii="Segoe UI" w:hAnsi="Segoe UI" w:cs="Segoe UI"/>
          <w:b/>
          <w:bCs/>
          <w:color w:val="FF5000"/>
          <w:sz w:val="18"/>
          <w:szCs w:val="18"/>
        </w:rPr>
        <w:br w:type="page"/>
      </w:r>
    </w:p>
    <w:p w:rsidR="000A43C5" w:rsidRPr="00FA37AB" w:rsidRDefault="005A06B9" w:rsidP="005A06B9">
      <w:pPr>
        <w:pStyle w:val="Header"/>
        <w:tabs>
          <w:tab w:val="clear" w:pos="4513"/>
          <w:tab w:val="clear" w:pos="9026"/>
          <w:tab w:val="left" w:pos="8957"/>
        </w:tabs>
        <w:rPr>
          <w:rFonts w:ascii="Segoe UI" w:hAnsi="Segoe UI" w:cs="Segoe UI"/>
          <w:noProof/>
          <w:color w:val="2E3335"/>
          <w:sz w:val="16"/>
          <w:szCs w:val="18"/>
          <w:lang w:eastAsia="el-GR"/>
        </w:rPr>
      </w:pPr>
      <w:r>
        <w:rPr>
          <w:rFonts w:ascii="Segoe UI Light" w:hAnsi="Segoe UI Light" w:cs="Segoe UI Light"/>
          <w:b/>
          <w:bCs/>
          <w:noProof/>
          <w:color w:val="2E3335"/>
          <w:sz w:val="18"/>
          <w:szCs w:val="18"/>
          <w:u w:val="single"/>
        </w:rPr>
        <w:lastRenderedPageBreak/>
        <mc:AlternateContent>
          <mc:Choice Requires="wps">
            <w:drawing>
              <wp:anchor distT="0" distB="0" distL="114300" distR="114300" simplePos="0" relativeHeight="251677184" behindDoc="0" locked="0" layoutInCell="1" allowOverlap="1">
                <wp:simplePos x="0" y="0"/>
                <wp:positionH relativeFrom="column">
                  <wp:posOffset>-127660</wp:posOffset>
                </wp:positionH>
                <wp:positionV relativeFrom="paragraph">
                  <wp:posOffset>-413542</wp:posOffset>
                </wp:positionV>
                <wp:extent cx="2243909" cy="439387"/>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2243909" cy="439387"/>
                        </a:xfrm>
                        <a:prstGeom prst="rect">
                          <a:avLst/>
                        </a:prstGeom>
                        <a:solidFill>
                          <a:schemeClr val="lt1"/>
                        </a:solidFill>
                        <a:ln w="6350">
                          <a:noFill/>
                        </a:ln>
                      </wps:spPr>
                      <wps:txbx>
                        <w:txbxContent>
                          <w:p w:rsidR="005A06B9" w:rsidRPr="00D77146" w:rsidRDefault="005A06B9" w:rsidP="005A06B9">
                            <w:pPr>
                              <w:pStyle w:val="Header"/>
                              <w:tabs>
                                <w:tab w:val="clear" w:pos="4513"/>
                                <w:tab w:val="clear" w:pos="9026"/>
                                <w:tab w:val="left" w:pos="8957"/>
                              </w:tabs>
                              <w:rPr>
                                <w:rFonts w:ascii="Segoe UI Light" w:hAnsi="Segoe UI Light" w:cs="Segoe UI Light"/>
                                <w:noProof/>
                                <w:color w:val="2E3335"/>
                                <w:sz w:val="36"/>
                                <w:szCs w:val="18"/>
                                <w:lang w:eastAsia="el-GR"/>
                              </w:rPr>
                            </w:pPr>
                            <w:r w:rsidRPr="00D77146">
                              <w:rPr>
                                <w:rFonts w:ascii="Segoe UI Light" w:hAnsi="Segoe UI Light" w:cs="Segoe UI Light"/>
                                <w:noProof/>
                                <w:color w:val="2E3335"/>
                                <w:sz w:val="36"/>
                                <w:szCs w:val="18"/>
                                <w:lang w:eastAsia="el-GR"/>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 o:spid="_x0000_s1028" type="#_x0000_t202" style="position:absolute;margin-left:-10.05pt;margin-top:-32.55pt;width:176.7pt;height:34.6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" fillcolor="white [3201]" stroked="f" strokeweight=".5pt">
                <v:textbox>
                  <w:txbxContent>
                    <w:p w:rsidR="005A06B9" w:rsidRPr="00D77146" w:rsidRDefault="005A06B9" w:rsidP="005A06B9">
                      <w:pPr>
                        <w:pStyle w:val="Header"/>
                        <w:tabs>
                          <w:tab w:val="clear" w:pos="4513"/>
                          <w:tab w:val="clear" w:pos="9026"/>
                          <w:tab w:val="left" w:pos="8957"/>
                        </w:tabs>
                        <w:rPr>
                          <w:rFonts w:ascii="Segoe UI Light" w:hAnsi="Segoe UI Light" w:cs="Segoe UI Light"/>
                          <w:noProof/>
                          <w:color w:val="2E3335"/>
                          <w:sz w:val="36"/>
                          <w:szCs w:val="18"/>
                          <w:lang w:eastAsia="el-GR"/>
                        </w:rPr>
                      </w:pPr>
                      <w:r w:rsidRPr="00D77146">
                        <w:rPr>
                          <w:rFonts w:ascii="Segoe UI Light" w:hAnsi="Segoe UI Light" w:cs="Segoe UI Light"/>
                          <w:noProof/>
                          <w:color w:val="2E3335"/>
                          <w:sz w:val="36"/>
                          <w:szCs w:val="18"/>
                          <w:lang w:eastAsia="el-GR"/>
                        </w:rPr>
                        <w:t>PRESS RELEASE</w:t>
                      </w:r>
                    </w:p>
                  </w:txbxContent>
                </v:textbox>
              </v:shape>
            </w:pict>
          </mc:Fallback>
        </mc:AlternateContent>
      </w:r>
      <w:r w:rsidRPr="00FA37AB">
        <w:rPr>
          <w:rFonts w:ascii="Segoe UI Light" w:hAnsi="Segoe UI Light" w:cs="Segoe UI Light"/>
          <w:noProof/>
          <w:color w:val="FF5000"/>
        </w:rPr>
        <w:drawing>
          <wp:anchor distT="0" distB="0" distL="114300" distR="114300" simplePos="0" relativeHeight="251665920" behindDoc="1" locked="0" layoutInCell="1" allowOverlap="1">
            <wp:simplePos x="0" y="0"/>
            <wp:positionH relativeFrom="column">
              <wp:posOffset>5048003</wp:posOffset>
            </wp:positionH>
            <wp:positionV relativeFrom="paragraph">
              <wp:posOffset>-414638</wp:posOffset>
            </wp:positionV>
            <wp:extent cx="1255395" cy="348615"/>
            <wp:effectExtent l="0" t="0" r="0" b="0"/>
            <wp:wrapNone/>
            <wp:docPr id="22" name="Picture 22" descr="C:\Users\velisariou\Desktop\New Colors Logo INTRALOT\INTRALOT RGB_new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lisariou\Desktop\New Colors Logo INTRALOT\INTRALOT RGB_new logo col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5395"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3C5" w:rsidRPr="00FA37AB" w:rsidRDefault="000A43C5" w:rsidP="003D7793">
      <w:pPr>
        <w:keepNext/>
        <w:keepLines/>
        <w:widowControl/>
        <w:tabs>
          <w:tab w:val="left" w:pos="-720"/>
          <w:tab w:val="left" w:pos="720"/>
          <w:tab w:val="left" w:pos="1440"/>
        </w:tabs>
        <w:suppressAutoHyphens/>
        <w:spacing w:after="240"/>
        <w:rPr>
          <w:rFonts w:ascii="Segoe UI Light" w:hAnsi="Segoe UI Light" w:cs="Segoe UI Light"/>
          <w:b/>
          <w:bCs/>
          <w:color w:val="2E3335"/>
          <w:sz w:val="18"/>
          <w:szCs w:val="18"/>
          <w:u w:val="single"/>
        </w:rPr>
      </w:pPr>
    </w:p>
    <w:p w:rsidR="003F0F9F" w:rsidRDefault="003F0F9F" w:rsidP="003D7793">
      <w:pPr>
        <w:keepNext/>
        <w:keepLines/>
        <w:widowControl/>
        <w:tabs>
          <w:tab w:val="left" w:pos="-720"/>
          <w:tab w:val="left" w:pos="720"/>
          <w:tab w:val="left" w:pos="1440"/>
        </w:tabs>
        <w:suppressAutoHyphens/>
        <w:spacing w:after="240"/>
        <w:rPr>
          <w:rFonts w:ascii="Segoe UI" w:hAnsi="Segoe UI" w:cs="Segoe UI"/>
          <w:b/>
          <w:bCs/>
          <w:color w:val="2E3335"/>
          <w:sz w:val="24"/>
          <w:szCs w:val="18"/>
        </w:rPr>
      </w:pPr>
    </w:p>
    <w:p w:rsidR="005A06B9" w:rsidRPr="00A007E9" w:rsidRDefault="005A06B9" w:rsidP="005A06B9">
      <w:pPr>
        <w:pStyle w:val="PlainText"/>
        <w:spacing w:after="120"/>
        <w:ind w:left="-709" w:right="-618"/>
        <w:jc w:val="center"/>
        <w:rPr>
          <w:rFonts w:ascii="Segoe UI" w:hAnsi="Segoe UI" w:cs="Segoe UI"/>
          <w:sz w:val="22"/>
          <w:szCs w:val="22"/>
        </w:rPr>
      </w:pPr>
      <w:r w:rsidRPr="00331DA2">
        <w:rPr>
          <w:rFonts w:ascii="Segoe UI" w:hAnsi="Segoe UI" w:cs="Segoe UI"/>
          <w:b/>
          <w:color w:val="FF5000"/>
          <w:sz w:val="36"/>
          <w:szCs w:val="22"/>
        </w:rPr>
        <w:t>“INTRALOT announces y-o-y Revenue (+</w:t>
      </w:r>
      <w:r>
        <w:rPr>
          <w:rFonts w:ascii="Segoe UI" w:hAnsi="Segoe UI" w:cs="Segoe UI"/>
          <w:b/>
          <w:color w:val="FF5000"/>
          <w:sz w:val="36"/>
          <w:szCs w:val="22"/>
        </w:rPr>
        <w:t>4</w:t>
      </w:r>
      <w:r w:rsidRPr="00331DA2">
        <w:rPr>
          <w:rFonts w:ascii="Segoe UI" w:hAnsi="Segoe UI" w:cs="Segoe UI"/>
          <w:b/>
          <w:color w:val="FF5000"/>
          <w:sz w:val="36"/>
          <w:szCs w:val="22"/>
        </w:rPr>
        <w:t>.</w:t>
      </w:r>
      <w:r>
        <w:rPr>
          <w:rFonts w:ascii="Segoe UI" w:hAnsi="Segoe UI" w:cs="Segoe UI"/>
          <w:b/>
          <w:color w:val="FF5000"/>
          <w:sz w:val="36"/>
          <w:szCs w:val="22"/>
        </w:rPr>
        <w:t>3</w:t>
      </w:r>
      <w:r w:rsidRPr="00331DA2">
        <w:rPr>
          <w:rFonts w:ascii="Segoe UI" w:hAnsi="Segoe UI" w:cs="Segoe UI"/>
          <w:b/>
          <w:color w:val="FF5000"/>
          <w:sz w:val="36"/>
          <w:szCs w:val="22"/>
        </w:rPr>
        <w:t xml:space="preserve">%) </w:t>
      </w:r>
      <w:r>
        <w:rPr>
          <w:rFonts w:ascii="Segoe UI" w:hAnsi="Segoe UI" w:cs="Segoe UI"/>
          <w:b/>
          <w:color w:val="FF5000"/>
          <w:sz w:val="36"/>
          <w:szCs w:val="22"/>
        </w:rPr>
        <w:br/>
      </w:r>
      <w:r w:rsidRPr="00331DA2">
        <w:rPr>
          <w:rFonts w:ascii="Segoe UI" w:hAnsi="Segoe UI" w:cs="Segoe UI"/>
          <w:b/>
          <w:color w:val="FF5000"/>
          <w:sz w:val="36"/>
          <w:szCs w:val="22"/>
        </w:rPr>
        <w:t>and EBITDA (+</w:t>
      </w:r>
      <w:r>
        <w:rPr>
          <w:rFonts w:ascii="Segoe UI" w:hAnsi="Segoe UI" w:cs="Segoe UI"/>
          <w:b/>
          <w:color w:val="FF5000"/>
          <w:sz w:val="36"/>
          <w:szCs w:val="22"/>
        </w:rPr>
        <w:t>1</w:t>
      </w:r>
      <w:r w:rsidRPr="00331DA2">
        <w:rPr>
          <w:rFonts w:ascii="Segoe UI" w:hAnsi="Segoe UI" w:cs="Segoe UI"/>
          <w:b/>
          <w:color w:val="FF5000"/>
          <w:sz w:val="36"/>
          <w:szCs w:val="22"/>
        </w:rPr>
        <w:t>.</w:t>
      </w:r>
      <w:r>
        <w:rPr>
          <w:rFonts w:ascii="Segoe UI" w:hAnsi="Segoe UI" w:cs="Segoe UI"/>
          <w:b/>
          <w:color w:val="FF5000"/>
          <w:sz w:val="36"/>
          <w:szCs w:val="22"/>
        </w:rPr>
        <w:t>9</w:t>
      </w:r>
      <w:r w:rsidRPr="00331DA2">
        <w:rPr>
          <w:rFonts w:ascii="Segoe UI" w:hAnsi="Segoe UI" w:cs="Segoe UI"/>
          <w:b/>
          <w:color w:val="FF5000"/>
          <w:sz w:val="36"/>
          <w:szCs w:val="22"/>
        </w:rPr>
        <w:t xml:space="preserve">%) growth for </w:t>
      </w:r>
      <w:r>
        <w:rPr>
          <w:rFonts w:ascii="Segoe UI" w:hAnsi="Segoe UI" w:cs="Segoe UI"/>
          <w:b/>
          <w:color w:val="FF5000"/>
          <w:sz w:val="36"/>
          <w:szCs w:val="22"/>
        </w:rPr>
        <w:t>1Q</w:t>
      </w:r>
      <w:r w:rsidRPr="00331DA2">
        <w:rPr>
          <w:rFonts w:ascii="Segoe UI" w:hAnsi="Segoe UI" w:cs="Segoe UI"/>
          <w:b/>
          <w:color w:val="FF5000"/>
          <w:sz w:val="36"/>
          <w:szCs w:val="22"/>
        </w:rPr>
        <w:t>1</w:t>
      </w:r>
      <w:r>
        <w:rPr>
          <w:rFonts w:ascii="Segoe UI" w:hAnsi="Segoe UI" w:cs="Segoe UI"/>
          <w:b/>
          <w:color w:val="FF5000"/>
          <w:sz w:val="36"/>
          <w:szCs w:val="22"/>
        </w:rPr>
        <w:t>8</w:t>
      </w:r>
      <w:r w:rsidRPr="00331DA2">
        <w:rPr>
          <w:rFonts w:ascii="Segoe UI" w:hAnsi="Segoe UI" w:cs="Segoe UI"/>
          <w:b/>
          <w:color w:val="FF5000"/>
          <w:sz w:val="36"/>
          <w:szCs w:val="22"/>
        </w:rPr>
        <w:t>”</w:t>
      </w:r>
    </w:p>
    <w:p w:rsidR="005A06B9" w:rsidRDefault="005A06B9" w:rsidP="005A06B9">
      <w:pPr>
        <w:pStyle w:val="Title"/>
        <w:spacing w:line="360" w:lineRule="auto"/>
        <w:ind w:right="27"/>
        <w:jc w:val="right"/>
        <w:rPr>
          <w:rFonts w:ascii="Segoe UI" w:hAnsi="Segoe UI" w:cs="Segoe UI"/>
          <w:b w:val="0"/>
          <w:sz w:val="22"/>
          <w:szCs w:val="22"/>
        </w:rPr>
      </w:pPr>
    </w:p>
    <w:p w:rsidR="005A06B9" w:rsidRPr="00D77146" w:rsidRDefault="005A06B9" w:rsidP="005A06B9">
      <w:pPr>
        <w:pStyle w:val="Title"/>
        <w:spacing w:line="360" w:lineRule="auto"/>
        <w:ind w:right="27"/>
        <w:jc w:val="right"/>
        <w:rPr>
          <w:rFonts w:ascii="Segoe UI" w:hAnsi="Segoe UI" w:cs="Segoe UI"/>
          <w:b w:val="0"/>
          <w:color w:val="2E3335"/>
          <w:sz w:val="22"/>
          <w:szCs w:val="22"/>
        </w:rPr>
      </w:pPr>
      <w:r w:rsidRPr="00D77146">
        <w:rPr>
          <w:rFonts w:ascii="Segoe UI" w:hAnsi="Segoe UI" w:cs="Segoe UI"/>
          <w:b w:val="0"/>
          <w:color w:val="2E3335"/>
          <w:sz w:val="22"/>
          <w:szCs w:val="22"/>
        </w:rPr>
        <w:t>May 31</w:t>
      </w:r>
      <w:r w:rsidRPr="00D77146">
        <w:rPr>
          <w:rFonts w:ascii="Segoe UI" w:hAnsi="Segoe UI" w:cs="Segoe UI"/>
          <w:b w:val="0"/>
          <w:color w:val="2E3335"/>
          <w:sz w:val="22"/>
          <w:szCs w:val="22"/>
          <w:vertAlign w:val="superscript"/>
        </w:rPr>
        <w:t>st</w:t>
      </w:r>
      <w:r w:rsidRPr="00D77146">
        <w:rPr>
          <w:rFonts w:ascii="Segoe UI" w:hAnsi="Segoe UI" w:cs="Segoe UI"/>
          <w:b w:val="0"/>
          <w:color w:val="2E3335"/>
          <w:sz w:val="22"/>
          <w:szCs w:val="22"/>
        </w:rPr>
        <w:t>, 2018</w:t>
      </w:r>
    </w:p>
    <w:p w:rsidR="005A06B9" w:rsidRPr="00D77146" w:rsidRDefault="005A06B9" w:rsidP="005A06B9">
      <w:pPr>
        <w:pStyle w:val="Title"/>
        <w:spacing w:after="240"/>
        <w:ind w:right="28"/>
        <w:jc w:val="both"/>
        <w:rPr>
          <w:rFonts w:ascii="Segoe UI" w:hAnsi="Segoe UI" w:cs="Segoe UI"/>
          <w:b w:val="0"/>
          <w:color w:val="2E3335"/>
          <w:sz w:val="22"/>
          <w:szCs w:val="22"/>
        </w:rPr>
      </w:pPr>
      <w:r w:rsidRPr="00D77146">
        <w:rPr>
          <w:rFonts w:ascii="Segoe UI" w:hAnsi="Segoe UI" w:cs="Segoe UI"/>
          <w:color w:val="2E3335"/>
          <w:sz w:val="22"/>
          <w:szCs w:val="22"/>
        </w:rPr>
        <w:t xml:space="preserve">INTRALOT SA </w:t>
      </w:r>
      <w:r w:rsidRPr="00D77146">
        <w:rPr>
          <w:rFonts w:ascii="Segoe UI" w:hAnsi="Segoe UI" w:cs="Segoe UI"/>
          <w:b w:val="0"/>
          <w:color w:val="2E3335"/>
          <w:sz w:val="22"/>
          <w:szCs w:val="22"/>
        </w:rPr>
        <w:t xml:space="preserve">(RIC: </w:t>
      </w:r>
      <w:r w:rsidRPr="00D77146">
        <w:rPr>
          <w:rFonts w:ascii="Segoe UI" w:hAnsi="Segoe UI" w:cs="Segoe UI"/>
          <w:color w:val="2E3335"/>
          <w:sz w:val="22"/>
          <w:szCs w:val="22"/>
        </w:rPr>
        <w:t>INLr.AT</w:t>
      </w:r>
      <w:r w:rsidRPr="00D77146">
        <w:rPr>
          <w:rFonts w:ascii="Segoe UI" w:hAnsi="Segoe UI" w:cs="Segoe UI"/>
          <w:b w:val="0"/>
          <w:color w:val="2E3335"/>
          <w:sz w:val="22"/>
          <w:szCs w:val="22"/>
        </w:rPr>
        <w:t xml:space="preserve">, Bloomberg: </w:t>
      </w:r>
      <w:r w:rsidRPr="00D77146">
        <w:rPr>
          <w:rFonts w:ascii="Segoe UI" w:hAnsi="Segoe UI" w:cs="Segoe UI"/>
          <w:color w:val="2E3335"/>
          <w:sz w:val="22"/>
          <w:szCs w:val="22"/>
        </w:rPr>
        <w:t>INLOT GA</w:t>
      </w:r>
      <w:r w:rsidRPr="00D77146">
        <w:rPr>
          <w:rFonts w:ascii="Segoe UI" w:hAnsi="Segoe UI" w:cs="Segoe UI"/>
          <w:b w:val="0"/>
          <w:color w:val="2E3335"/>
          <w:sz w:val="22"/>
          <w:szCs w:val="22"/>
        </w:rPr>
        <w:t>), an international gaming solutions and operations leader, announces its financial results for the three month period ended March 31</w:t>
      </w:r>
      <w:r w:rsidRPr="00D77146">
        <w:rPr>
          <w:rFonts w:ascii="Segoe UI" w:hAnsi="Segoe UI" w:cs="Segoe UI"/>
          <w:b w:val="0"/>
          <w:color w:val="2E3335"/>
          <w:sz w:val="22"/>
          <w:szCs w:val="22"/>
          <w:vertAlign w:val="superscript"/>
        </w:rPr>
        <w:t>st</w:t>
      </w:r>
      <w:r w:rsidRPr="00D77146">
        <w:rPr>
          <w:rFonts w:ascii="Segoe UI" w:hAnsi="Segoe UI" w:cs="Segoe UI"/>
          <w:b w:val="0"/>
          <w:color w:val="2E3335"/>
          <w:sz w:val="22"/>
          <w:szCs w:val="22"/>
        </w:rPr>
        <w:t>, 2018, prepared in accordance with IFRS.</w:t>
      </w:r>
    </w:p>
    <w:p w:rsidR="005A06B9" w:rsidRPr="00D77146" w:rsidRDefault="005A06B9" w:rsidP="005A06B9">
      <w:pPr>
        <w:pStyle w:val="Header"/>
        <w:spacing w:after="240"/>
        <w:ind w:right="-760"/>
        <w:jc w:val="both"/>
        <w:rPr>
          <w:rFonts w:ascii="Segoe UI" w:hAnsi="Segoe UI" w:cs="Segoe UI"/>
          <w:b/>
          <w:color w:val="2E3335"/>
          <w:sz w:val="24"/>
        </w:rPr>
      </w:pPr>
    </w:p>
    <w:p w:rsidR="005A06B9" w:rsidRPr="00963B78" w:rsidRDefault="005A06B9" w:rsidP="005A06B9">
      <w:pPr>
        <w:pStyle w:val="Header"/>
        <w:spacing w:after="240"/>
        <w:ind w:right="-760"/>
        <w:jc w:val="both"/>
        <w:rPr>
          <w:rFonts w:ascii="Segoe UI" w:hAnsi="Segoe UI" w:cs="Segoe UI"/>
          <w:b/>
          <w:color w:val="FF5000"/>
          <w:sz w:val="24"/>
        </w:rPr>
      </w:pPr>
      <w:r>
        <w:rPr>
          <w:rFonts w:ascii="Segoe UI" w:hAnsi="Segoe UI" w:cs="Segoe UI"/>
          <w:b/>
          <w:color w:val="FF5000"/>
          <w:sz w:val="24"/>
        </w:rPr>
        <w:t>OVERVIEW</w:t>
      </w:r>
    </w:p>
    <w:p w:rsidR="005A06B9" w:rsidRDefault="005A06B9" w:rsidP="005A06B9">
      <w:pPr>
        <w:pStyle w:val="Title"/>
        <w:jc w:val="left"/>
        <w:rPr>
          <w:rFonts w:ascii="Segoe UI" w:hAnsi="Segoe UI" w:cs="Segoe UI"/>
          <w:color w:val="000000" w:themeColor="text1"/>
          <w:szCs w:val="22"/>
        </w:rPr>
      </w:pPr>
      <w:r w:rsidRPr="00780C7B">
        <w:rPr>
          <w:rFonts w:ascii="Segoe UI" w:hAnsi="Segoe UI" w:cs="Segoe UI"/>
          <w:b w:val="0"/>
          <w:bCs/>
          <w:noProof/>
          <w:szCs w:val="22"/>
        </w:rPr>
        <mc:AlternateContent>
          <mc:Choice Requires="wps">
            <w:drawing>
              <wp:inline distT="0" distB="0" distL="0" distR="0" wp14:anchorId="02D30E7F" wp14:editId="75DFD2CF">
                <wp:extent cx="6480000" cy="5142016"/>
                <wp:effectExtent l="0" t="0" r="16510" b="20955"/>
                <wp:docPr id="10" name="Rounded Rectangle 10"/>
                <wp:cNvGraphicFramePr/>
                <a:graphic xmlns:a="http://schemas.openxmlformats.org/drawingml/2006/main">
                  <a:graphicData uri="http://schemas.microsoft.com/office/word/2010/wordprocessingShape">
                    <wps:wsp>
                      <wps:cNvSpPr/>
                      <wps:spPr>
                        <a:xfrm>
                          <a:off x="0" y="0"/>
                          <a:ext cx="6480000" cy="5142016"/>
                        </a:xfrm>
                        <a:prstGeom prst="roundRect">
                          <a:avLst>
                            <a:gd name="adj" fmla="val 5817"/>
                          </a:avLst>
                        </a:prstGeom>
                        <a:noFill/>
                        <a:ln>
                          <a:solidFill>
                            <a:srgbClr val="FF5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Revenue and EBITDA growth of +12.7% and +15.6% year over year respectively on a constant currency basis.</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Group Revenues increased by 4.3% in 1Q18, compared to 1Q17.</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EBITDA in the three-month period grew by 1.9% year over year.</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EBITDA margins on sales and on GGR both contracted by 0.3pps (at 15.2%) and 0.2pps (at 30.1%), respectively.</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EBT margin developed to 4.7% (-0.5pps vs. 1Q17).</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 xml:space="preserve">NIATMI (Net Income </w:t>
                            </w:r>
                            <w:proofErr w:type="gramStart"/>
                            <w:r w:rsidRPr="00D77146">
                              <w:rPr>
                                <w:rFonts w:ascii="Segoe UI" w:hAnsi="Segoe UI" w:cs="Segoe UI"/>
                                <w:color w:val="2E3335"/>
                                <w:sz w:val="24"/>
                                <w:szCs w:val="24"/>
                              </w:rPr>
                              <w:t>After</w:t>
                            </w:r>
                            <w:proofErr w:type="gramEnd"/>
                            <w:r w:rsidRPr="00D77146">
                              <w:rPr>
                                <w:rFonts w:ascii="Segoe UI" w:hAnsi="Segoe UI" w:cs="Segoe UI"/>
                                <w:color w:val="2E3335"/>
                                <w:sz w:val="24"/>
                                <w:szCs w:val="24"/>
                              </w:rPr>
                              <w:t xml:space="preserve"> Tax and Minority Interest) from continuing operations remained relatively stable vs. last year, developing to </w:t>
                            </w:r>
                            <w:r w:rsidRPr="00D77146">
                              <w:rPr>
                                <w:rFonts w:ascii="Segoe UI" w:hAnsi="Segoe UI" w:cs="Segoe UI"/>
                                <w:bCs/>
                                <w:color w:val="2E3335"/>
                                <w:sz w:val="24"/>
                                <w:szCs w:val="24"/>
                              </w:rPr>
                              <w:t>€-6.0m from €-6.1m.</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Operating Cash Flow in 1Q18 below last year by -8.4% or €-3.3m</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Net Debt stood at €528.3m, up €17.6m compared to December 31</w:t>
                            </w:r>
                            <w:r w:rsidRPr="00D77146">
                              <w:rPr>
                                <w:rFonts w:ascii="Segoe UI" w:hAnsi="Segoe UI" w:cs="Segoe UI"/>
                                <w:color w:val="2E3335"/>
                                <w:sz w:val="24"/>
                                <w:szCs w:val="24"/>
                                <w:vertAlign w:val="superscript"/>
                              </w:rPr>
                              <w:t>st</w:t>
                            </w:r>
                            <w:r w:rsidRPr="00D77146">
                              <w:rPr>
                                <w:rFonts w:ascii="Segoe UI" w:hAnsi="Segoe UI" w:cs="Segoe UI"/>
                                <w:color w:val="2E3335"/>
                                <w:sz w:val="24"/>
                                <w:szCs w:val="24"/>
                              </w:rPr>
                              <w:t xml:space="preserve"> 2017. </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In early May 2018, the US Supreme Court has ruled that PASPA (the Professional and Amateur Sports Protection Act), a 1992 federal law which prohibited states from legalizing sports betting, is unconstitutional.</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 xml:space="preserve">In May 2018, Intralot welcomed Mr. Michael </w:t>
                            </w:r>
                            <w:proofErr w:type="spellStart"/>
                            <w:r w:rsidRPr="00D77146">
                              <w:rPr>
                                <w:rFonts w:ascii="Segoe UI" w:hAnsi="Segoe UI" w:cs="Segoe UI"/>
                                <w:color w:val="2E3335"/>
                                <w:sz w:val="24"/>
                                <w:szCs w:val="24"/>
                              </w:rPr>
                              <w:t>Kogeler</w:t>
                            </w:r>
                            <w:proofErr w:type="spellEnd"/>
                            <w:r w:rsidRPr="00D77146">
                              <w:rPr>
                                <w:rFonts w:ascii="Segoe UI" w:hAnsi="Segoe UI" w:cs="Segoe UI"/>
                                <w:color w:val="2E3335"/>
                                <w:sz w:val="24"/>
                                <w:szCs w:val="24"/>
                              </w:rPr>
                              <w:t>, as its new Group Chief Operating Officer.</w:t>
                            </w:r>
                          </w:p>
                        </w:txbxContent>
                      </wps:txbx>
                      <wps:bodyPr rot="0" spcFirstLastPara="0" vertOverflow="overflow" horzOverflow="overflow" vert="horz" wrap="square" lIns="91440" tIns="180000" rIns="91440" bIns="18000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2D30E7F" id="Rounded Rectangle 10" o:spid="_x0000_s1029" style="width:510.25pt;height:404.9pt;visibility:visible;mso-wrap-style:square;mso-left-percent:-10001;mso-top-percent:-10001;mso-position-horizontal:absolute;mso-position-horizontal-relative:char;mso-position-vertical:absolute;mso-position-vertical-relative:line;mso-left-percent:-10001;mso-top-percent:-10001;v-text-anchor:top"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" filled="f" strokecolor="#ff5000" strokeweight="1pt">
                <v:stroke dashstyle="dash" joinstyle="miter"/>
                <v:textbox inset=",5mm,,5mm">
                  <w:txbxContent>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Revenue and EBITDA growth of +12.7% and +15.6% year over year respectively on a constant currency basis.</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Group Revenues increased by 4.3% in 1Q18, compared to 1Q17.</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EBITDA in the three-month period grew by 1.9% year over year.</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EBITDA margins on sales and on GGR both contracted by 0.3pps (at 15.2%) and 0.2pps (at 30.1%), respectively.</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EBT margin developed to 4.7% (-0.5pps vs. 1Q17).</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 xml:space="preserve">NIATMI (Net Income After Tax and Minority Interest) from continuing operations remained relatively stable vs. last year, developing to </w:t>
                      </w:r>
                      <w:r w:rsidRPr="00D77146">
                        <w:rPr>
                          <w:rFonts w:ascii="Segoe UI" w:hAnsi="Segoe UI" w:cs="Segoe UI"/>
                          <w:bCs/>
                          <w:color w:val="2E3335"/>
                          <w:sz w:val="24"/>
                          <w:szCs w:val="24"/>
                        </w:rPr>
                        <w:t>€-6.0m from €-6.1m.</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Operating Cash Flow in 1Q18 below last year by -8.4% or €-3.3m</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Net Debt stood at €528.3m, up €17.6m compared to December 31</w:t>
                      </w:r>
                      <w:r w:rsidRPr="00D77146">
                        <w:rPr>
                          <w:rFonts w:ascii="Segoe UI" w:hAnsi="Segoe UI" w:cs="Segoe UI"/>
                          <w:color w:val="2E3335"/>
                          <w:sz w:val="24"/>
                          <w:szCs w:val="24"/>
                          <w:vertAlign w:val="superscript"/>
                        </w:rPr>
                        <w:t>st</w:t>
                      </w:r>
                      <w:proofErr w:type="gramStart"/>
                      <w:r w:rsidRPr="00D77146">
                        <w:rPr>
                          <w:rFonts w:ascii="Segoe UI" w:hAnsi="Segoe UI" w:cs="Segoe UI"/>
                          <w:color w:val="2E3335"/>
                          <w:sz w:val="24"/>
                          <w:szCs w:val="24"/>
                        </w:rPr>
                        <w:t xml:space="preserve"> 2017</w:t>
                      </w:r>
                      <w:proofErr w:type="gramEnd"/>
                      <w:r w:rsidRPr="00D77146">
                        <w:rPr>
                          <w:rFonts w:ascii="Segoe UI" w:hAnsi="Segoe UI" w:cs="Segoe UI"/>
                          <w:color w:val="2E3335"/>
                          <w:sz w:val="24"/>
                          <w:szCs w:val="24"/>
                        </w:rPr>
                        <w:t xml:space="preserve">. </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In early May 2018, the US Supreme Court has ruled that PASPA (the Professional and Amateur Sports Protection Act), a 1992 federal law which prohibited states from legalizing sports betting, is unconstitutional.</w:t>
                      </w:r>
                    </w:p>
                    <w:p w:rsidR="005A06B9" w:rsidRPr="00D77146" w:rsidRDefault="005A06B9" w:rsidP="00D77146">
                      <w:pPr>
                        <w:pStyle w:val="Header"/>
                        <w:widowControl/>
                        <w:numPr>
                          <w:ilvl w:val="0"/>
                          <w:numId w:val="44"/>
                        </w:numPr>
                        <w:tabs>
                          <w:tab w:val="clear" w:pos="4513"/>
                          <w:tab w:val="clear" w:pos="9026"/>
                        </w:tabs>
                        <w:autoSpaceDE/>
                        <w:autoSpaceDN/>
                        <w:adjustRightInd/>
                        <w:spacing w:after="200"/>
                        <w:jc w:val="both"/>
                        <w:rPr>
                          <w:rFonts w:ascii="Segoe UI" w:hAnsi="Segoe UI" w:cs="Segoe UI"/>
                          <w:color w:val="2E3335"/>
                          <w:sz w:val="24"/>
                          <w:szCs w:val="24"/>
                        </w:rPr>
                      </w:pPr>
                      <w:r w:rsidRPr="00D77146">
                        <w:rPr>
                          <w:rFonts w:ascii="Segoe UI" w:hAnsi="Segoe UI" w:cs="Segoe UI"/>
                          <w:color w:val="2E3335"/>
                          <w:sz w:val="24"/>
                          <w:szCs w:val="24"/>
                        </w:rPr>
                        <w:t>In May 2018, Intralot welcomed Mr. Michael Kogeler, as its new Group Chief Operating Officer.</w:t>
                      </w:r>
                    </w:p>
                  </w:txbxContent>
                </v:textbox>
                <w10:anchorlock/>
              </v:roundrect>
            </w:pict>
          </mc:Fallback>
        </mc:AlternateContent>
      </w:r>
    </w:p>
    <w:p w:rsidR="005A06B9" w:rsidRDefault="005A06B9" w:rsidP="005A06B9">
      <w:pPr>
        <w:pStyle w:val="Header"/>
        <w:spacing w:after="240"/>
        <w:ind w:right="-760"/>
        <w:jc w:val="both"/>
        <w:rPr>
          <w:rFonts w:ascii="Segoe UI" w:hAnsi="Segoe UI" w:cs="Segoe UI"/>
          <w:b/>
          <w:color w:val="FF5000"/>
          <w:sz w:val="24"/>
        </w:rPr>
      </w:pPr>
      <w:r w:rsidRPr="00D8450C">
        <w:rPr>
          <w:rFonts w:ascii="Segoe UI" w:hAnsi="Segoe UI" w:cs="Segoe UI"/>
          <w:b/>
          <w:noProof/>
          <w:sz w:val="22"/>
        </w:rPr>
        <w:lastRenderedPageBreak/>
        <w:drawing>
          <wp:anchor distT="0" distB="0" distL="114300" distR="114300" simplePos="0" relativeHeight="251676160" behindDoc="0" locked="0" layoutInCell="1" allowOverlap="1" wp14:anchorId="26A743A4" wp14:editId="79DABF78">
            <wp:simplePos x="0" y="0"/>
            <wp:positionH relativeFrom="column">
              <wp:posOffset>-193485</wp:posOffset>
            </wp:positionH>
            <wp:positionV relativeFrom="page">
              <wp:posOffset>1376680</wp:posOffset>
            </wp:positionV>
            <wp:extent cx="6696000" cy="703445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000" cy="7034454"/>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w:hAnsi="Segoe UI" w:cs="Segoe UI"/>
          <w:b/>
          <w:color w:val="FF5000"/>
          <w:sz w:val="24"/>
        </w:rPr>
        <w:t>1Q18</w:t>
      </w:r>
      <w:r w:rsidRPr="00963B78">
        <w:rPr>
          <w:rFonts w:ascii="Segoe UI" w:hAnsi="Segoe UI" w:cs="Segoe UI"/>
          <w:b/>
          <w:color w:val="FF5000"/>
          <w:sz w:val="24"/>
        </w:rPr>
        <w:t xml:space="preserve"> </w:t>
      </w:r>
      <w:r>
        <w:rPr>
          <w:rFonts w:ascii="Segoe UI" w:hAnsi="Segoe UI" w:cs="Segoe UI"/>
          <w:b/>
          <w:color w:val="FF5000"/>
          <w:sz w:val="24"/>
        </w:rPr>
        <w:t>INFOGRAPHIC</w:t>
      </w:r>
    </w:p>
    <w:p w:rsidR="005A06B9" w:rsidRDefault="005A06B9" w:rsidP="005A06B9">
      <w:pPr>
        <w:pStyle w:val="Title"/>
        <w:ind w:right="-640"/>
        <w:jc w:val="left"/>
        <w:rPr>
          <w:rFonts w:ascii="Segoe UI" w:hAnsi="Segoe UI" w:cs="Segoe UI"/>
          <w:b w:val="0"/>
          <w:sz w:val="22"/>
          <w:szCs w:val="22"/>
        </w:rPr>
      </w:pPr>
    </w:p>
    <w:p w:rsidR="005A06B9" w:rsidRDefault="005A06B9" w:rsidP="005A06B9">
      <w:pPr>
        <w:pStyle w:val="Title"/>
        <w:jc w:val="left"/>
        <w:rPr>
          <w:rFonts w:ascii="Segoe UI" w:hAnsi="Segoe UI" w:cs="Segoe UI"/>
          <w:color w:val="000000" w:themeColor="text1"/>
          <w:szCs w:val="22"/>
        </w:rPr>
      </w:pPr>
      <w:r>
        <w:rPr>
          <w:rFonts w:ascii="Segoe UI" w:hAnsi="Segoe UI" w:cs="Segoe UI"/>
          <w:color w:val="000000" w:themeColor="text1"/>
          <w:szCs w:val="22"/>
        </w:rPr>
        <w:br w:type="page"/>
      </w:r>
    </w:p>
    <w:p w:rsidR="005A06B9" w:rsidRPr="00D77146" w:rsidRDefault="005A06B9" w:rsidP="005A06B9">
      <w:pPr>
        <w:pStyle w:val="Title"/>
        <w:jc w:val="left"/>
        <w:rPr>
          <w:rFonts w:ascii="Segoe UI" w:hAnsi="Segoe UI" w:cs="Segoe UI"/>
          <w:color w:val="2E3335"/>
          <w:szCs w:val="22"/>
        </w:rPr>
      </w:pPr>
      <w:r w:rsidRPr="00D77146">
        <w:rPr>
          <w:rFonts w:ascii="Segoe UI" w:hAnsi="Segoe UI" w:cs="Segoe UI"/>
          <w:color w:val="2E3335"/>
          <w:szCs w:val="22"/>
        </w:rPr>
        <w:lastRenderedPageBreak/>
        <w:t>Group Headline Figures</w:t>
      </w:r>
    </w:p>
    <w:p w:rsidR="005A06B9" w:rsidRPr="00D77146" w:rsidRDefault="005A06B9" w:rsidP="005A06B9">
      <w:pPr>
        <w:pStyle w:val="Title"/>
        <w:jc w:val="left"/>
        <w:rPr>
          <w:rFonts w:ascii="Segoe UI" w:hAnsi="Segoe UI" w:cs="Segoe UI"/>
          <w:color w:val="2E3335"/>
          <w:szCs w:val="22"/>
        </w:rPr>
      </w:pPr>
    </w:p>
    <w:tbl>
      <w:tblPr>
        <w:tblW w:w="10182" w:type="dxa"/>
        <w:tblInd w:w="14" w:type="dxa"/>
        <w:tblCellMar>
          <w:left w:w="57" w:type="dxa"/>
          <w:right w:w="57" w:type="dxa"/>
        </w:tblCellMar>
        <w:tblLook w:val="04A0" w:firstRow="1" w:lastRow="0" w:firstColumn="1" w:lastColumn="0" w:noHBand="0" w:noVBand="1"/>
      </w:tblPr>
      <w:tblGrid>
        <w:gridCol w:w="3606"/>
        <w:gridCol w:w="1644"/>
        <w:gridCol w:w="1644"/>
        <w:gridCol w:w="1644"/>
        <w:gridCol w:w="1644"/>
      </w:tblGrid>
      <w:tr w:rsidR="005A06B9" w:rsidTr="009C10C4">
        <w:trPr>
          <w:trHeight w:val="329"/>
        </w:trPr>
        <w:tc>
          <w:tcPr>
            <w:tcW w:w="3606" w:type="dxa"/>
            <w:tcBorders>
              <w:top w:val="nil"/>
              <w:left w:val="nil"/>
              <w:bottom w:val="single" w:sz="12" w:space="0" w:color="595959" w:themeColor="text1" w:themeTint="A6"/>
              <w:right w:val="nil"/>
            </w:tcBorders>
            <w:shd w:val="clear" w:color="auto" w:fill="auto"/>
            <w:vAlign w:val="center"/>
            <w:hideMark/>
          </w:tcPr>
          <w:p w:rsidR="005A06B9" w:rsidRPr="00963B78" w:rsidRDefault="005A06B9" w:rsidP="009C10C4">
            <w:pPr>
              <w:rPr>
                <w:rFonts w:ascii="Segoe UI" w:hAnsi="Segoe UI" w:cs="Segoe UI"/>
                <w:i/>
                <w:iCs/>
                <w:color w:val="FF5000"/>
                <w:szCs w:val="20"/>
              </w:rPr>
            </w:pPr>
            <w:r w:rsidRPr="00963B78">
              <w:rPr>
                <w:rFonts w:ascii="Segoe UI" w:hAnsi="Segoe UI" w:cs="Segoe UI"/>
                <w:i/>
                <w:iCs/>
                <w:color w:val="595959" w:themeColor="text1" w:themeTint="A6"/>
                <w:szCs w:val="20"/>
              </w:rPr>
              <w:t>(in € million)</w:t>
            </w:r>
          </w:p>
        </w:tc>
        <w:tc>
          <w:tcPr>
            <w:tcW w:w="1644" w:type="dxa"/>
            <w:tcBorders>
              <w:top w:val="nil"/>
              <w:left w:val="nil"/>
              <w:bottom w:val="single" w:sz="12" w:space="0" w:color="595959" w:themeColor="text1" w:themeTint="A6"/>
              <w:right w:val="nil"/>
            </w:tcBorders>
            <w:shd w:val="clear" w:color="000000" w:fill="F2F2F2"/>
            <w:vAlign w:val="center"/>
            <w:hideMark/>
          </w:tcPr>
          <w:p w:rsidR="005A06B9" w:rsidRPr="00963B78" w:rsidRDefault="005A06B9" w:rsidP="009C10C4">
            <w:pPr>
              <w:jc w:val="center"/>
              <w:rPr>
                <w:rFonts w:ascii="Segoe UI" w:hAnsi="Segoe UI" w:cs="Segoe UI"/>
                <w:b/>
                <w:color w:val="FF5000"/>
                <w:sz w:val="22"/>
              </w:rPr>
            </w:pPr>
            <w:r>
              <w:rPr>
                <w:rFonts w:ascii="Segoe UI" w:hAnsi="Segoe UI" w:cs="Segoe UI"/>
                <w:b/>
                <w:color w:val="FF5000"/>
                <w:sz w:val="22"/>
              </w:rPr>
              <w:t>1Q</w:t>
            </w:r>
            <w:r w:rsidRPr="00963B78">
              <w:rPr>
                <w:rFonts w:ascii="Segoe UI" w:hAnsi="Segoe UI" w:cs="Segoe UI"/>
                <w:b/>
                <w:color w:val="FF5000"/>
                <w:sz w:val="22"/>
              </w:rPr>
              <w:t>1</w:t>
            </w:r>
            <w:r>
              <w:rPr>
                <w:rFonts w:ascii="Segoe UI" w:hAnsi="Segoe UI" w:cs="Segoe UI"/>
                <w:b/>
                <w:color w:val="FF5000"/>
                <w:sz w:val="22"/>
              </w:rPr>
              <w:t>8</w:t>
            </w:r>
          </w:p>
        </w:tc>
        <w:tc>
          <w:tcPr>
            <w:tcW w:w="1644" w:type="dxa"/>
            <w:tcBorders>
              <w:top w:val="nil"/>
              <w:left w:val="nil"/>
              <w:bottom w:val="single" w:sz="12" w:space="0" w:color="595959" w:themeColor="text1" w:themeTint="A6"/>
              <w:right w:val="nil"/>
            </w:tcBorders>
            <w:shd w:val="clear" w:color="auto" w:fill="auto"/>
            <w:vAlign w:val="center"/>
            <w:hideMark/>
          </w:tcPr>
          <w:p w:rsidR="005A06B9" w:rsidRPr="00963B78" w:rsidRDefault="005A06B9" w:rsidP="009C10C4">
            <w:pPr>
              <w:jc w:val="center"/>
              <w:rPr>
                <w:rFonts w:ascii="Segoe UI" w:hAnsi="Segoe UI" w:cs="Segoe UI"/>
                <w:b/>
                <w:color w:val="FF5000"/>
                <w:sz w:val="22"/>
              </w:rPr>
            </w:pPr>
            <w:r>
              <w:rPr>
                <w:rFonts w:ascii="Segoe UI" w:hAnsi="Segoe UI" w:cs="Segoe UI"/>
                <w:b/>
                <w:color w:val="FF5000"/>
                <w:sz w:val="22"/>
              </w:rPr>
              <w:t>1</w:t>
            </w:r>
            <w:r w:rsidRPr="00963B78">
              <w:rPr>
                <w:rFonts w:ascii="Segoe UI" w:hAnsi="Segoe UI" w:cs="Segoe UI"/>
                <w:b/>
                <w:color w:val="FF5000"/>
                <w:sz w:val="22"/>
              </w:rPr>
              <w:t>Q1</w:t>
            </w:r>
            <w:r>
              <w:rPr>
                <w:rFonts w:ascii="Segoe UI" w:hAnsi="Segoe UI" w:cs="Segoe UI"/>
                <w:b/>
                <w:color w:val="FF5000"/>
                <w:sz w:val="22"/>
              </w:rPr>
              <w:t>7</w:t>
            </w:r>
          </w:p>
        </w:tc>
        <w:tc>
          <w:tcPr>
            <w:tcW w:w="1644" w:type="dxa"/>
            <w:tcBorders>
              <w:top w:val="nil"/>
              <w:left w:val="nil"/>
              <w:bottom w:val="single" w:sz="12" w:space="0" w:color="595959" w:themeColor="text1" w:themeTint="A6"/>
              <w:right w:val="nil"/>
            </w:tcBorders>
            <w:shd w:val="clear" w:color="auto" w:fill="auto"/>
            <w:vAlign w:val="center"/>
            <w:hideMark/>
          </w:tcPr>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w:t>
            </w:r>
          </w:p>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Change</w:t>
            </w:r>
          </w:p>
        </w:tc>
        <w:tc>
          <w:tcPr>
            <w:tcW w:w="1644" w:type="dxa"/>
            <w:tcBorders>
              <w:top w:val="nil"/>
              <w:left w:val="nil"/>
              <w:bottom w:val="single" w:sz="12" w:space="0" w:color="595959" w:themeColor="text1" w:themeTint="A6"/>
              <w:right w:val="nil"/>
            </w:tcBorders>
            <w:shd w:val="clear" w:color="auto" w:fill="F2F2F2"/>
            <w:vAlign w:val="center"/>
          </w:tcPr>
          <w:p w:rsidR="005A06B9" w:rsidRPr="00766016" w:rsidRDefault="005A06B9" w:rsidP="009C10C4">
            <w:pPr>
              <w:jc w:val="center"/>
              <w:rPr>
                <w:rFonts w:ascii="Segoe UI" w:hAnsi="Segoe UI" w:cs="Segoe UI"/>
                <w:b/>
                <w:color w:val="FF5000"/>
                <w:sz w:val="22"/>
              </w:rPr>
            </w:pPr>
            <w:r>
              <w:rPr>
                <w:rFonts w:ascii="Segoe UI" w:hAnsi="Segoe UI" w:cs="Segoe UI"/>
                <w:b/>
                <w:color w:val="FF5000"/>
                <w:sz w:val="22"/>
              </w:rPr>
              <w:t>LTM</w:t>
            </w:r>
          </w:p>
        </w:tc>
      </w:tr>
      <w:tr w:rsidR="005A06B9" w:rsidTr="009C10C4">
        <w:trPr>
          <w:trHeight w:val="329"/>
        </w:trPr>
        <w:tc>
          <w:tcPr>
            <w:tcW w:w="3606" w:type="dxa"/>
            <w:tcBorders>
              <w:top w:val="single" w:sz="12" w:space="0" w:color="595959" w:themeColor="text1" w:themeTint="A6"/>
              <w:left w:val="nil"/>
              <w:bottom w:val="single" w:sz="4" w:space="0" w:color="auto"/>
              <w:right w:val="nil"/>
            </w:tcBorders>
            <w:shd w:val="clear" w:color="auto" w:fill="auto"/>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Revenues (Turnover)</w:t>
            </w:r>
          </w:p>
        </w:tc>
        <w:tc>
          <w:tcPr>
            <w:tcW w:w="1644" w:type="dxa"/>
            <w:tcBorders>
              <w:top w:val="single" w:sz="12" w:space="0" w:color="595959" w:themeColor="text1" w:themeTint="A6"/>
              <w:left w:val="nil"/>
              <w:bottom w:val="single" w:sz="4" w:space="0" w:color="auto"/>
              <w:right w:val="nil"/>
            </w:tcBorders>
            <w:shd w:val="clear" w:color="000000" w:fill="F2F2F2"/>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280.7</w:t>
            </w:r>
          </w:p>
        </w:tc>
        <w:tc>
          <w:tcPr>
            <w:tcW w:w="1644" w:type="dxa"/>
            <w:tcBorders>
              <w:top w:val="single" w:sz="12" w:space="0" w:color="595959" w:themeColor="text1" w:themeTint="A6"/>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269.0</w:t>
            </w:r>
          </w:p>
        </w:tc>
        <w:tc>
          <w:tcPr>
            <w:tcW w:w="1644" w:type="dxa"/>
            <w:tcBorders>
              <w:top w:val="single" w:sz="12" w:space="0" w:color="595959" w:themeColor="text1" w:themeTint="A6"/>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4.3%</w:t>
            </w:r>
          </w:p>
        </w:tc>
        <w:tc>
          <w:tcPr>
            <w:tcW w:w="1644" w:type="dxa"/>
            <w:tcBorders>
              <w:top w:val="single" w:sz="12" w:space="0" w:color="595959" w:themeColor="text1" w:themeTint="A6"/>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1,115.9</w:t>
            </w:r>
          </w:p>
        </w:tc>
      </w:tr>
      <w:tr w:rsidR="005A06B9" w:rsidTr="009C10C4">
        <w:trPr>
          <w:trHeight w:val="329"/>
        </w:trPr>
        <w:tc>
          <w:tcPr>
            <w:tcW w:w="3606" w:type="dxa"/>
            <w:tcBorders>
              <w:top w:val="nil"/>
              <w:left w:val="nil"/>
              <w:bottom w:val="single" w:sz="4" w:space="0" w:color="auto"/>
              <w:right w:val="nil"/>
            </w:tcBorders>
            <w:shd w:val="clear" w:color="auto" w:fill="auto"/>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GGR</w:t>
            </w:r>
          </w:p>
        </w:tc>
        <w:tc>
          <w:tcPr>
            <w:tcW w:w="1644" w:type="dxa"/>
            <w:tcBorders>
              <w:top w:val="nil"/>
              <w:left w:val="nil"/>
              <w:bottom w:val="single" w:sz="4" w:space="0" w:color="auto"/>
              <w:right w:val="nil"/>
            </w:tcBorders>
            <w:shd w:val="clear" w:color="000000"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141.5</w:t>
            </w:r>
          </w:p>
        </w:tc>
        <w:tc>
          <w:tcPr>
            <w:tcW w:w="1644" w:type="dxa"/>
            <w:tcBorders>
              <w:top w:val="nil"/>
              <w:left w:val="nil"/>
              <w:bottom w:val="single" w:sz="4" w:space="0" w:color="auto"/>
              <w:right w:val="nil"/>
            </w:tcBorders>
            <w:shd w:val="clear" w:color="auto" w:fill="auto"/>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138.1</w:t>
            </w:r>
          </w:p>
        </w:tc>
        <w:tc>
          <w:tcPr>
            <w:tcW w:w="1644" w:type="dxa"/>
            <w:tcBorders>
              <w:top w:val="nil"/>
              <w:left w:val="nil"/>
              <w:bottom w:val="single" w:sz="4" w:space="0" w:color="auto"/>
              <w:right w:val="nil"/>
            </w:tcBorders>
            <w:shd w:val="clear" w:color="auto" w:fill="auto"/>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i/>
                <w:iCs/>
                <w:color w:val="2E3335"/>
                <w:sz w:val="22"/>
              </w:rPr>
              <w:t>2.5%</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582.6</w:t>
            </w:r>
          </w:p>
        </w:tc>
      </w:tr>
      <w:tr w:rsidR="005A06B9" w:rsidTr="009C10C4">
        <w:trPr>
          <w:trHeight w:val="329"/>
        </w:trPr>
        <w:tc>
          <w:tcPr>
            <w:tcW w:w="3606" w:type="dxa"/>
            <w:tcBorders>
              <w:top w:val="nil"/>
              <w:left w:val="nil"/>
              <w:bottom w:val="single" w:sz="4" w:space="0" w:color="auto"/>
              <w:right w:val="nil"/>
            </w:tcBorders>
            <w:shd w:val="clear" w:color="auto" w:fill="auto"/>
            <w:hideMark/>
          </w:tcPr>
          <w:p w:rsidR="005A06B9" w:rsidRPr="00D77146" w:rsidRDefault="005A06B9" w:rsidP="009C10C4">
            <w:pPr>
              <w:rPr>
                <w:rFonts w:ascii="Segoe UI" w:hAnsi="Segoe UI" w:cs="Segoe UI"/>
                <w:b/>
                <w:color w:val="2E3335"/>
                <w:sz w:val="22"/>
              </w:rPr>
            </w:pPr>
            <w:r w:rsidRPr="00D77146">
              <w:rPr>
                <w:rFonts w:ascii="Segoe UI" w:hAnsi="Segoe UI" w:cs="Segoe UI"/>
                <w:b/>
                <w:color w:val="2E3335"/>
                <w:sz w:val="22"/>
              </w:rPr>
              <w:t>EBITDA</w:t>
            </w:r>
          </w:p>
        </w:tc>
        <w:tc>
          <w:tcPr>
            <w:tcW w:w="1644" w:type="dxa"/>
            <w:tcBorders>
              <w:top w:val="nil"/>
              <w:left w:val="nil"/>
              <w:bottom w:val="single" w:sz="4" w:space="0" w:color="auto"/>
              <w:right w:val="nil"/>
            </w:tcBorders>
            <w:shd w:val="clear" w:color="000000" w:fill="F2F2F2"/>
            <w:hideMark/>
          </w:tcPr>
          <w:p w:rsidR="005A06B9" w:rsidRPr="00D77146" w:rsidRDefault="005A06B9" w:rsidP="009C10C4">
            <w:pPr>
              <w:jc w:val="center"/>
              <w:rPr>
                <w:rFonts w:ascii="Segoe UI" w:hAnsi="Segoe UI" w:cs="Segoe UI"/>
                <w:b/>
                <w:color w:val="2E3335"/>
                <w:sz w:val="22"/>
              </w:rPr>
            </w:pPr>
            <w:r w:rsidRPr="00D77146">
              <w:rPr>
                <w:rFonts w:ascii="Segoe UI" w:hAnsi="Segoe UI" w:cs="Segoe UI"/>
                <w:b/>
                <w:color w:val="2E3335"/>
                <w:sz w:val="22"/>
              </w:rPr>
              <w:t>42.6</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b/>
                <w:color w:val="2E3335"/>
                <w:sz w:val="22"/>
              </w:rPr>
            </w:pPr>
            <w:r w:rsidRPr="00D77146">
              <w:rPr>
                <w:rFonts w:ascii="Segoe UI" w:hAnsi="Segoe UI" w:cs="Segoe UI"/>
                <w:b/>
                <w:color w:val="2E3335"/>
                <w:sz w:val="22"/>
              </w:rPr>
              <w:t>41.8</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i/>
                <w:iCs/>
                <w:color w:val="2E3335"/>
                <w:sz w:val="22"/>
              </w:rPr>
              <w:t>1.9%</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b/>
                <w:color w:val="2E3335"/>
                <w:sz w:val="22"/>
              </w:rPr>
              <w:t>172.3</w:t>
            </w:r>
          </w:p>
        </w:tc>
      </w:tr>
      <w:tr w:rsidR="005A06B9" w:rsidTr="009C10C4">
        <w:trPr>
          <w:trHeight w:val="329"/>
        </w:trPr>
        <w:tc>
          <w:tcPr>
            <w:tcW w:w="3606" w:type="dxa"/>
            <w:tcBorders>
              <w:top w:val="nil"/>
              <w:left w:val="nil"/>
              <w:bottom w:val="single" w:sz="4" w:space="0" w:color="auto"/>
              <w:right w:val="nil"/>
            </w:tcBorders>
            <w:shd w:val="clear" w:color="auto" w:fill="auto"/>
            <w:hideMark/>
          </w:tcPr>
          <w:p w:rsidR="005A06B9" w:rsidRPr="00D77146" w:rsidRDefault="005A06B9" w:rsidP="009C10C4">
            <w:pPr>
              <w:rPr>
                <w:rFonts w:ascii="Segoe UI" w:hAnsi="Segoe UI" w:cs="Segoe UI"/>
                <w:i/>
                <w:iCs/>
                <w:color w:val="2E3335"/>
                <w:sz w:val="22"/>
              </w:rPr>
            </w:pPr>
            <w:r w:rsidRPr="00D77146">
              <w:rPr>
                <w:rFonts w:ascii="Segoe UI" w:hAnsi="Segoe UI" w:cs="Segoe UI"/>
                <w:i/>
                <w:iCs/>
                <w:color w:val="2E3335"/>
                <w:sz w:val="22"/>
              </w:rPr>
              <w:t>EBITDA Margin (% on Revenue)</w:t>
            </w:r>
          </w:p>
        </w:tc>
        <w:tc>
          <w:tcPr>
            <w:tcW w:w="1644" w:type="dxa"/>
            <w:tcBorders>
              <w:top w:val="nil"/>
              <w:left w:val="nil"/>
              <w:bottom w:val="single" w:sz="4" w:space="0" w:color="auto"/>
              <w:right w:val="nil"/>
            </w:tcBorders>
            <w:shd w:val="clear" w:color="000000" w:fill="F2F2F2"/>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15.2%</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15.5%</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-0.3pps</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i/>
                <w:iCs/>
                <w:color w:val="2E3335"/>
                <w:sz w:val="22"/>
              </w:rPr>
              <w:t>15.4%</w:t>
            </w:r>
          </w:p>
        </w:tc>
      </w:tr>
      <w:tr w:rsidR="005A06B9" w:rsidTr="009C10C4">
        <w:trPr>
          <w:trHeight w:val="329"/>
        </w:trPr>
        <w:tc>
          <w:tcPr>
            <w:tcW w:w="3606" w:type="dxa"/>
            <w:tcBorders>
              <w:top w:val="nil"/>
              <w:left w:val="nil"/>
              <w:bottom w:val="single" w:sz="4" w:space="0" w:color="auto"/>
              <w:right w:val="nil"/>
            </w:tcBorders>
            <w:shd w:val="clear" w:color="auto" w:fill="auto"/>
          </w:tcPr>
          <w:p w:rsidR="005A06B9" w:rsidRPr="00D77146" w:rsidRDefault="005A06B9" w:rsidP="009C10C4">
            <w:pPr>
              <w:rPr>
                <w:rFonts w:ascii="Segoe UI" w:hAnsi="Segoe UI" w:cs="Segoe UI"/>
                <w:i/>
                <w:iCs/>
                <w:color w:val="2E3335"/>
                <w:sz w:val="22"/>
              </w:rPr>
            </w:pPr>
            <w:r w:rsidRPr="00D77146">
              <w:rPr>
                <w:rFonts w:ascii="Segoe UI" w:hAnsi="Segoe UI" w:cs="Segoe UI"/>
                <w:i/>
                <w:iCs/>
                <w:color w:val="2E3335"/>
                <w:sz w:val="22"/>
              </w:rPr>
              <w:t>EBITDA Margin (% on GGR)</w:t>
            </w:r>
          </w:p>
        </w:tc>
        <w:tc>
          <w:tcPr>
            <w:tcW w:w="1644" w:type="dxa"/>
            <w:tcBorders>
              <w:top w:val="nil"/>
              <w:left w:val="nil"/>
              <w:bottom w:val="single" w:sz="4" w:space="0" w:color="auto"/>
              <w:right w:val="nil"/>
            </w:tcBorders>
            <w:shd w:val="clear" w:color="000000" w:fill="F2F2F2"/>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30.1%</w:t>
            </w:r>
          </w:p>
        </w:tc>
        <w:tc>
          <w:tcPr>
            <w:tcW w:w="1644" w:type="dxa"/>
            <w:tcBorders>
              <w:top w:val="nil"/>
              <w:left w:val="nil"/>
              <w:bottom w:val="single" w:sz="4"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30.3%</w:t>
            </w:r>
          </w:p>
        </w:tc>
        <w:tc>
          <w:tcPr>
            <w:tcW w:w="1644" w:type="dxa"/>
            <w:tcBorders>
              <w:top w:val="nil"/>
              <w:left w:val="nil"/>
              <w:bottom w:val="single" w:sz="4"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-0.2pps</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i/>
                <w:iCs/>
                <w:color w:val="2E3335"/>
                <w:sz w:val="22"/>
              </w:rPr>
              <w:t>29.6%</w:t>
            </w:r>
          </w:p>
        </w:tc>
      </w:tr>
      <w:tr w:rsidR="005A06B9" w:rsidTr="009C10C4">
        <w:trPr>
          <w:trHeight w:val="329"/>
        </w:trPr>
        <w:tc>
          <w:tcPr>
            <w:tcW w:w="3606" w:type="dxa"/>
            <w:tcBorders>
              <w:top w:val="nil"/>
              <w:left w:val="nil"/>
              <w:bottom w:val="single" w:sz="4" w:space="0" w:color="auto"/>
              <w:right w:val="nil"/>
            </w:tcBorders>
            <w:shd w:val="clear" w:color="auto" w:fill="auto"/>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Adjusted EBITDA</w:t>
            </w:r>
            <w:r w:rsidRPr="00D77146">
              <w:rPr>
                <w:rStyle w:val="FootnoteReference"/>
                <w:rFonts w:ascii="Segoe UI" w:hAnsi="Segoe UI" w:cs="Segoe UI"/>
                <w:color w:val="2E3335"/>
                <w:sz w:val="22"/>
              </w:rPr>
              <w:footnoteReference w:id="1"/>
            </w:r>
          </w:p>
        </w:tc>
        <w:tc>
          <w:tcPr>
            <w:tcW w:w="1644" w:type="dxa"/>
            <w:tcBorders>
              <w:top w:val="nil"/>
              <w:left w:val="nil"/>
              <w:bottom w:val="single" w:sz="4" w:space="0" w:color="auto"/>
              <w:right w:val="nil"/>
            </w:tcBorders>
            <w:shd w:val="clear" w:color="000000" w:fill="F2F2F2"/>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33.1</w:t>
            </w:r>
          </w:p>
        </w:tc>
        <w:tc>
          <w:tcPr>
            <w:tcW w:w="1644" w:type="dxa"/>
            <w:tcBorders>
              <w:top w:val="nil"/>
              <w:left w:val="nil"/>
              <w:bottom w:val="single" w:sz="4"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30.8</w:t>
            </w:r>
          </w:p>
        </w:tc>
        <w:tc>
          <w:tcPr>
            <w:tcW w:w="1644" w:type="dxa"/>
            <w:tcBorders>
              <w:top w:val="nil"/>
              <w:left w:val="nil"/>
              <w:bottom w:val="single" w:sz="4"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7.5%</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133.4</w:t>
            </w:r>
          </w:p>
        </w:tc>
      </w:tr>
      <w:tr w:rsidR="005A06B9" w:rsidTr="009C10C4">
        <w:trPr>
          <w:trHeight w:val="329"/>
        </w:trPr>
        <w:tc>
          <w:tcPr>
            <w:tcW w:w="3606" w:type="dxa"/>
            <w:tcBorders>
              <w:top w:val="nil"/>
              <w:left w:val="nil"/>
              <w:bottom w:val="single" w:sz="4" w:space="0" w:color="auto"/>
              <w:right w:val="nil"/>
            </w:tcBorders>
            <w:shd w:val="clear" w:color="auto" w:fill="auto"/>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EBT</w:t>
            </w:r>
          </w:p>
        </w:tc>
        <w:tc>
          <w:tcPr>
            <w:tcW w:w="1644" w:type="dxa"/>
            <w:tcBorders>
              <w:top w:val="nil"/>
              <w:left w:val="nil"/>
              <w:bottom w:val="single" w:sz="4" w:space="0" w:color="auto"/>
              <w:right w:val="nil"/>
            </w:tcBorders>
            <w:shd w:val="clear" w:color="000000" w:fill="F2F2F2"/>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13.2</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13.9</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-5.0%</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9.6</w:t>
            </w:r>
          </w:p>
        </w:tc>
      </w:tr>
      <w:tr w:rsidR="005A06B9" w:rsidTr="009C10C4">
        <w:trPr>
          <w:trHeight w:val="329"/>
        </w:trPr>
        <w:tc>
          <w:tcPr>
            <w:tcW w:w="3606" w:type="dxa"/>
            <w:tcBorders>
              <w:top w:val="nil"/>
              <w:left w:val="nil"/>
              <w:bottom w:val="single" w:sz="4" w:space="0" w:color="auto"/>
              <w:right w:val="nil"/>
            </w:tcBorders>
            <w:shd w:val="clear" w:color="auto" w:fill="auto"/>
            <w:hideMark/>
          </w:tcPr>
          <w:p w:rsidR="005A06B9" w:rsidRPr="00D77146" w:rsidRDefault="005A06B9" w:rsidP="009C10C4">
            <w:pPr>
              <w:rPr>
                <w:rFonts w:ascii="Segoe UI" w:hAnsi="Segoe UI" w:cs="Segoe UI"/>
                <w:i/>
                <w:iCs/>
                <w:color w:val="2E3335"/>
                <w:sz w:val="22"/>
              </w:rPr>
            </w:pPr>
            <w:r w:rsidRPr="00D77146">
              <w:rPr>
                <w:rFonts w:ascii="Segoe UI" w:hAnsi="Segoe UI" w:cs="Segoe UI"/>
                <w:i/>
                <w:iCs/>
                <w:color w:val="2E3335"/>
                <w:sz w:val="22"/>
              </w:rPr>
              <w:t>EBT Margin (%)</w:t>
            </w:r>
          </w:p>
        </w:tc>
        <w:tc>
          <w:tcPr>
            <w:tcW w:w="1644" w:type="dxa"/>
            <w:tcBorders>
              <w:top w:val="nil"/>
              <w:left w:val="nil"/>
              <w:bottom w:val="single" w:sz="4" w:space="0" w:color="auto"/>
              <w:right w:val="nil"/>
            </w:tcBorders>
            <w:shd w:val="clear" w:color="000000" w:fill="F2F2F2"/>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4.7%</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5.2%</w:t>
            </w:r>
          </w:p>
        </w:tc>
        <w:tc>
          <w:tcPr>
            <w:tcW w:w="1644" w:type="dxa"/>
            <w:tcBorders>
              <w:top w:val="nil"/>
              <w:left w:val="nil"/>
              <w:bottom w:val="single" w:sz="4" w:space="0" w:color="auto"/>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-0.5pps</w:t>
            </w:r>
          </w:p>
        </w:tc>
        <w:tc>
          <w:tcPr>
            <w:tcW w:w="1644" w:type="dxa"/>
            <w:tcBorders>
              <w:top w:val="nil"/>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i/>
                <w:iCs/>
                <w:color w:val="2E3335"/>
                <w:sz w:val="22"/>
              </w:rPr>
              <w:t>0.9%</w:t>
            </w:r>
          </w:p>
        </w:tc>
      </w:tr>
      <w:tr w:rsidR="005A06B9" w:rsidRPr="00963B78" w:rsidTr="009C10C4">
        <w:trPr>
          <w:trHeight w:val="329"/>
        </w:trPr>
        <w:tc>
          <w:tcPr>
            <w:tcW w:w="3606" w:type="dxa"/>
            <w:tcBorders>
              <w:top w:val="single" w:sz="4" w:space="0" w:color="auto"/>
              <w:left w:val="nil"/>
              <w:bottom w:val="single" w:sz="12" w:space="0" w:color="auto"/>
              <w:right w:val="nil"/>
            </w:tcBorders>
            <w:shd w:val="clear" w:color="auto" w:fill="auto"/>
            <w:vAlign w:val="center"/>
            <w:hideMark/>
          </w:tcPr>
          <w:p w:rsidR="005A06B9" w:rsidRPr="00D77146" w:rsidRDefault="005A06B9" w:rsidP="009C10C4">
            <w:pPr>
              <w:rPr>
                <w:rFonts w:ascii="Segoe UI" w:hAnsi="Segoe UI" w:cs="Segoe UI"/>
                <w:b/>
                <w:color w:val="2E3335"/>
                <w:sz w:val="22"/>
              </w:rPr>
            </w:pPr>
            <w:r w:rsidRPr="00D77146">
              <w:rPr>
                <w:rFonts w:ascii="Segoe UI" w:hAnsi="Segoe UI" w:cs="Segoe UI"/>
                <w:b/>
                <w:color w:val="2E3335"/>
                <w:sz w:val="22"/>
              </w:rPr>
              <w:t>NIATMI from continuing operations</w:t>
            </w:r>
          </w:p>
        </w:tc>
        <w:tc>
          <w:tcPr>
            <w:tcW w:w="1644" w:type="dxa"/>
            <w:tcBorders>
              <w:top w:val="single" w:sz="4" w:space="0" w:color="auto"/>
              <w:left w:val="nil"/>
              <w:bottom w:val="single" w:sz="12" w:space="0" w:color="auto"/>
              <w:right w:val="nil"/>
            </w:tcBorders>
            <w:shd w:val="clear" w:color="000000" w:fill="F2F2F2"/>
            <w:vAlign w:val="center"/>
            <w:hideMark/>
          </w:tcPr>
          <w:p w:rsidR="005A06B9" w:rsidRPr="00D77146" w:rsidRDefault="005A06B9" w:rsidP="009C10C4">
            <w:pPr>
              <w:jc w:val="center"/>
              <w:rPr>
                <w:rFonts w:ascii="Segoe UI" w:hAnsi="Segoe UI" w:cs="Segoe UI"/>
                <w:b/>
                <w:color w:val="2E3335"/>
                <w:sz w:val="22"/>
              </w:rPr>
            </w:pPr>
            <w:r w:rsidRPr="00D77146">
              <w:rPr>
                <w:rFonts w:ascii="Segoe UI" w:hAnsi="Segoe UI" w:cs="Segoe UI"/>
                <w:b/>
                <w:bCs/>
                <w:color w:val="2E3335"/>
                <w:sz w:val="22"/>
              </w:rPr>
              <w:t>-6.0</w:t>
            </w:r>
          </w:p>
        </w:tc>
        <w:tc>
          <w:tcPr>
            <w:tcW w:w="1644" w:type="dxa"/>
            <w:tcBorders>
              <w:top w:val="single" w:sz="4" w:space="0" w:color="auto"/>
              <w:left w:val="nil"/>
              <w:bottom w:val="single" w:sz="12" w:space="0" w:color="auto"/>
              <w:right w:val="nil"/>
            </w:tcBorders>
            <w:shd w:val="clear" w:color="auto" w:fill="auto"/>
            <w:vAlign w:val="center"/>
            <w:hideMark/>
          </w:tcPr>
          <w:p w:rsidR="005A06B9" w:rsidRPr="00D77146" w:rsidRDefault="005A06B9" w:rsidP="009C10C4">
            <w:pPr>
              <w:jc w:val="center"/>
              <w:rPr>
                <w:rFonts w:ascii="Segoe UI" w:hAnsi="Segoe UI" w:cs="Segoe UI"/>
                <w:b/>
                <w:color w:val="2E3335"/>
                <w:sz w:val="22"/>
              </w:rPr>
            </w:pPr>
            <w:r w:rsidRPr="00D77146">
              <w:rPr>
                <w:rFonts w:ascii="Segoe UI" w:hAnsi="Segoe UI" w:cs="Segoe UI"/>
                <w:b/>
                <w:bCs/>
                <w:color w:val="2E3335"/>
                <w:sz w:val="22"/>
              </w:rPr>
              <w:t>-6.1</w:t>
            </w:r>
          </w:p>
        </w:tc>
        <w:tc>
          <w:tcPr>
            <w:tcW w:w="1644" w:type="dxa"/>
            <w:tcBorders>
              <w:top w:val="single" w:sz="4" w:space="0" w:color="auto"/>
              <w:left w:val="nil"/>
              <w:bottom w:val="single" w:sz="12" w:space="0" w:color="auto"/>
              <w:right w:val="nil"/>
            </w:tcBorders>
            <w:shd w:val="clear" w:color="auto" w:fill="auto"/>
            <w:vAlign w:val="center"/>
            <w:hideMark/>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bCs/>
                <w:i/>
                <w:iCs/>
                <w:color w:val="2E3335"/>
                <w:sz w:val="22"/>
              </w:rPr>
              <w:t>1.6%</w:t>
            </w:r>
          </w:p>
        </w:tc>
        <w:tc>
          <w:tcPr>
            <w:tcW w:w="1644" w:type="dxa"/>
            <w:tcBorders>
              <w:top w:val="single" w:sz="4" w:space="0" w:color="auto"/>
              <w:left w:val="nil"/>
              <w:bottom w:val="single" w:sz="12" w:space="0" w:color="auto"/>
              <w:right w:val="nil"/>
            </w:tcBorders>
            <w:shd w:val="clear" w:color="auto" w:fill="F2F2F2"/>
            <w:vAlign w:val="center"/>
          </w:tcPr>
          <w:p w:rsidR="005A06B9" w:rsidRPr="00D77146" w:rsidRDefault="005A06B9" w:rsidP="009C10C4">
            <w:pPr>
              <w:jc w:val="center"/>
              <w:rPr>
                <w:rFonts w:ascii="Segoe UI" w:hAnsi="Segoe UI" w:cs="Segoe UI"/>
                <w:b/>
                <w:color w:val="2E3335"/>
                <w:sz w:val="22"/>
              </w:rPr>
            </w:pPr>
            <w:r w:rsidRPr="00D77146">
              <w:rPr>
                <w:rFonts w:ascii="Segoe UI" w:hAnsi="Segoe UI" w:cs="Segoe UI"/>
                <w:b/>
                <w:bCs/>
                <w:color w:val="2E3335"/>
                <w:sz w:val="22"/>
              </w:rPr>
              <w:t>-58.5</w:t>
            </w:r>
          </w:p>
        </w:tc>
      </w:tr>
      <w:tr w:rsidR="005A06B9" w:rsidTr="009C10C4">
        <w:trPr>
          <w:trHeight w:val="329"/>
        </w:trPr>
        <w:tc>
          <w:tcPr>
            <w:tcW w:w="3606" w:type="dxa"/>
            <w:tcBorders>
              <w:top w:val="single" w:sz="12" w:space="0" w:color="auto"/>
              <w:left w:val="nil"/>
              <w:bottom w:val="single" w:sz="12" w:space="0" w:color="595959"/>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NIATMI from total operations</w:t>
            </w:r>
          </w:p>
        </w:tc>
        <w:tc>
          <w:tcPr>
            <w:tcW w:w="1644" w:type="dxa"/>
            <w:tcBorders>
              <w:top w:val="single" w:sz="12" w:space="0" w:color="auto"/>
              <w:left w:val="nil"/>
              <w:bottom w:val="single" w:sz="12" w:space="0" w:color="595959"/>
              <w:right w:val="nil"/>
            </w:tcBorders>
            <w:shd w:val="clear" w:color="000000" w:fill="F2F2F2"/>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-6.0</w:t>
            </w:r>
          </w:p>
        </w:tc>
        <w:tc>
          <w:tcPr>
            <w:tcW w:w="1644" w:type="dxa"/>
            <w:tcBorders>
              <w:top w:val="single" w:sz="12" w:space="0" w:color="auto"/>
              <w:left w:val="nil"/>
              <w:bottom w:val="single" w:sz="12" w:space="0" w:color="595959"/>
              <w:right w:val="nil"/>
            </w:tcBorders>
            <w:shd w:val="clear" w:color="auto" w:fill="auto"/>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-5.4</w:t>
            </w:r>
          </w:p>
        </w:tc>
        <w:tc>
          <w:tcPr>
            <w:tcW w:w="1644" w:type="dxa"/>
            <w:tcBorders>
              <w:top w:val="single" w:sz="12" w:space="0" w:color="auto"/>
              <w:left w:val="nil"/>
              <w:bottom w:val="single" w:sz="12" w:space="0" w:color="595959"/>
              <w:right w:val="nil"/>
            </w:tcBorders>
            <w:shd w:val="clear" w:color="auto" w:fill="auto"/>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-11.1%</w:t>
            </w:r>
          </w:p>
        </w:tc>
        <w:tc>
          <w:tcPr>
            <w:tcW w:w="1644" w:type="dxa"/>
            <w:tcBorders>
              <w:top w:val="single" w:sz="12" w:space="0" w:color="auto"/>
              <w:left w:val="nil"/>
              <w:bottom w:val="single" w:sz="12" w:space="0" w:color="595959"/>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-54.0</w:t>
            </w:r>
          </w:p>
        </w:tc>
      </w:tr>
      <w:tr w:rsidR="005A06B9" w:rsidTr="009C10C4">
        <w:trPr>
          <w:trHeight w:val="329"/>
        </w:trPr>
        <w:tc>
          <w:tcPr>
            <w:tcW w:w="3606" w:type="dxa"/>
            <w:tcBorders>
              <w:top w:val="single" w:sz="12" w:space="0" w:color="595959"/>
              <w:left w:val="nil"/>
              <w:bottom w:val="single" w:sz="4" w:space="0" w:color="auto"/>
              <w:right w:val="nil"/>
            </w:tcBorders>
            <w:shd w:val="clear" w:color="auto" w:fill="auto"/>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Total Assets</w:t>
            </w:r>
          </w:p>
        </w:tc>
        <w:tc>
          <w:tcPr>
            <w:tcW w:w="1644" w:type="dxa"/>
            <w:tcBorders>
              <w:top w:val="single" w:sz="12" w:space="0" w:color="595959"/>
              <w:left w:val="nil"/>
              <w:bottom w:val="single" w:sz="4" w:space="0" w:color="auto"/>
              <w:right w:val="nil"/>
            </w:tcBorders>
            <w:shd w:val="clear" w:color="000000" w:fill="F2F2F2"/>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997.8</w:t>
            </w:r>
          </w:p>
        </w:tc>
        <w:tc>
          <w:tcPr>
            <w:tcW w:w="1644" w:type="dxa"/>
            <w:tcBorders>
              <w:top w:val="single" w:sz="12" w:space="0" w:color="595959"/>
              <w:left w:val="nil"/>
              <w:bottom w:val="single" w:sz="4" w:space="0" w:color="auto"/>
              <w:right w:val="nil"/>
            </w:tcBorders>
            <w:shd w:val="clear" w:color="auto" w:fill="auto"/>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1,056.4</w:t>
            </w:r>
          </w:p>
        </w:tc>
        <w:tc>
          <w:tcPr>
            <w:tcW w:w="1644" w:type="dxa"/>
            <w:tcBorders>
              <w:top w:val="single" w:sz="12" w:space="0" w:color="595959"/>
              <w:left w:val="nil"/>
              <w:bottom w:val="single" w:sz="4"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single" w:sz="12" w:space="0" w:color="595959"/>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997.8</w:t>
            </w:r>
          </w:p>
        </w:tc>
      </w:tr>
      <w:tr w:rsidR="005A06B9" w:rsidTr="009C10C4">
        <w:trPr>
          <w:trHeight w:val="329"/>
        </w:trPr>
        <w:tc>
          <w:tcPr>
            <w:tcW w:w="3606" w:type="dxa"/>
            <w:tcBorders>
              <w:top w:val="single" w:sz="4" w:space="0" w:color="auto"/>
              <w:left w:val="nil"/>
              <w:bottom w:val="single" w:sz="4" w:space="0" w:color="auto"/>
              <w:right w:val="nil"/>
            </w:tcBorders>
            <w:shd w:val="clear" w:color="auto" w:fill="auto"/>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Gross Debt</w:t>
            </w:r>
          </w:p>
        </w:tc>
        <w:tc>
          <w:tcPr>
            <w:tcW w:w="1644" w:type="dxa"/>
            <w:tcBorders>
              <w:top w:val="single" w:sz="4" w:space="0" w:color="auto"/>
              <w:left w:val="nil"/>
              <w:bottom w:val="single" w:sz="4" w:space="0" w:color="auto"/>
              <w:right w:val="nil"/>
            </w:tcBorders>
            <w:shd w:val="clear" w:color="000000" w:fill="F2F2F2"/>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751.6</w:t>
            </w:r>
          </w:p>
        </w:tc>
        <w:tc>
          <w:tcPr>
            <w:tcW w:w="1644" w:type="dxa"/>
            <w:tcBorders>
              <w:top w:val="single" w:sz="4" w:space="0" w:color="auto"/>
              <w:left w:val="nil"/>
              <w:bottom w:val="single" w:sz="4" w:space="0" w:color="auto"/>
              <w:right w:val="nil"/>
            </w:tcBorders>
            <w:shd w:val="clear" w:color="auto" w:fill="auto"/>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669.5</w:t>
            </w:r>
          </w:p>
        </w:tc>
        <w:tc>
          <w:tcPr>
            <w:tcW w:w="1644" w:type="dxa"/>
            <w:tcBorders>
              <w:top w:val="single" w:sz="4" w:space="0" w:color="auto"/>
              <w:left w:val="nil"/>
              <w:bottom w:val="single" w:sz="4"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single" w:sz="4" w:space="0" w:color="auto"/>
              <w:left w:val="nil"/>
              <w:bottom w:val="single" w:sz="4"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751.6</w:t>
            </w:r>
          </w:p>
        </w:tc>
      </w:tr>
      <w:tr w:rsidR="005A06B9" w:rsidTr="009C10C4">
        <w:trPr>
          <w:trHeight w:val="329"/>
        </w:trPr>
        <w:tc>
          <w:tcPr>
            <w:tcW w:w="3606" w:type="dxa"/>
            <w:tcBorders>
              <w:top w:val="single" w:sz="4" w:space="0" w:color="auto"/>
              <w:left w:val="nil"/>
              <w:bottom w:val="single" w:sz="12" w:space="0" w:color="auto"/>
              <w:right w:val="nil"/>
            </w:tcBorders>
            <w:shd w:val="clear" w:color="auto" w:fill="auto"/>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Net Debt</w:t>
            </w:r>
          </w:p>
        </w:tc>
        <w:tc>
          <w:tcPr>
            <w:tcW w:w="1644" w:type="dxa"/>
            <w:tcBorders>
              <w:top w:val="single" w:sz="4" w:space="0" w:color="auto"/>
              <w:left w:val="nil"/>
              <w:bottom w:val="single" w:sz="12" w:space="0" w:color="auto"/>
              <w:right w:val="nil"/>
            </w:tcBorders>
            <w:shd w:val="clear" w:color="000000" w:fill="F2F2F2"/>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528.3</w:t>
            </w:r>
          </w:p>
        </w:tc>
        <w:tc>
          <w:tcPr>
            <w:tcW w:w="1644" w:type="dxa"/>
            <w:tcBorders>
              <w:top w:val="single" w:sz="4" w:space="0" w:color="auto"/>
              <w:left w:val="nil"/>
              <w:bottom w:val="single" w:sz="12" w:space="0" w:color="auto"/>
              <w:right w:val="nil"/>
            </w:tcBorders>
            <w:shd w:val="clear" w:color="auto" w:fill="auto"/>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508.9</w:t>
            </w:r>
          </w:p>
        </w:tc>
        <w:tc>
          <w:tcPr>
            <w:tcW w:w="1644" w:type="dxa"/>
            <w:tcBorders>
              <w:top w:val="single" w:sz="4" w:space="0" w:color="auto"/>
              <w:left w:val="nil"/>
              <w:bottom w:val="single" w:sz="12" w:space="0" w:color="auto"/>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single" w:sz="4" w:space="0" w:color="auto"/>
              <w:left w:val="nil"/>
              <w:bottom w:val="single" w:sz="12" w:space="0" w:color="auto"/>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528.3</w:t>
            </w:r>
          </w:p>
        </w:tc>
      </w:tr>
      <w:tr w:rsidR="005A06B9" w:rsidTr="009C10C4">
        <w:trPr>
          <w:trHeight w:val="329"/>
        </w:trPr>
        <w:tc>
          <w:tcPr>
            <w:tcW w:w="3606" w:type="dxa"/>
            <w:tcBorders>
              <w:top w:val="single" w:sz="12" w:space="0" w:color="auto"/>
              <w:left w:val="nil"/>
              <w:bottom w:val="single" w:sz="12" w:space="0" w:color="595959" w:themeColor="text1" w:themeTint="A6"/>
              <w:right w:val="nil"/>
            </w:tcBorders>
            <w:shd w:val="clear" w:color="auto" w:fill="auto"/>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Operating Cash Flow</w:t>
            </w:r>
          </w:p>
        </w:tc>
        <w:tc>
          <w:tcPr>
            <w:tcW w:w="1644" w:type="dxa"/>
            <w:tcBorders>
              <w:top w:val="single" w:sz="12" w:space="0" w:color="auto"/>
              <w:left w:val="nil"/>
              <w:bottom w:val="single" w:sz="12" w:space="0" w:color="595959" w:themeColor="text1" w:themeTint="A6"/>
              <w:right w:val="nil"/>
            </w:tcBorders>
            <w:shd w:val="clear" w:color="000000" w:fill="F2F2F2"/>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35.9</w:t>
            </w:r>
          </w:p>
        </w:tc>
        <w:tc>
          <w:tcPr>
            <w:tcW w:w="1644" w:type="dxa"/>
            <w:tcBorders>
              <w:top w:val="single" w:sz="12" w:space="0" w:color="auto"/>
              <w:left w:val="nil"/>
              <w:bottom w:val="single" w:sz="12" w:space="0" w:color="595959" w:themeColor="text1" w:themeTint="A6"/>
              <w:right w:val="nil"/>
            </w:tcBorders>
            <w:shd w:val="clear" w:color="auto" w:fill="auto"/>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39.2</w:t>
            </w:r>
          </w:p>
        </w:tc>
        <w:tc>
          <w:tcPr>
            <w:tcW w:w="1644" w:type="dxa"/>
            <w:tcBorders>
              <w:top w:val="single" w:sz="12" w:space="0" w:color="auto"/>
              <w:left w:val="nil"/>
              <w:bottom w:val="single" w:sz="12" w:space="0" w:color="595959" w:themeColor="text1" w:themeTint="A6"/>
              <w:right w:val="nil"/>
            </w:tcBorders>
            <w:shd w:val="clear" w:color="auto" w:fill="auto"/>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-8.4%</w:t>
            </w:r>
          </w:p>
        </w:tc>
        <w:tc>
          <w:tcPr>
            <w:tcW w:w="1644" w:type="dxa"/>
            <w:tcBorders>
              <w:top w:val="single" w:sz="12" w:space="0" w:color="auto"/>
              <w:left w:val="nil"/>
              <w:bottom w:val="single" w:sz="12" w:space="0" w:color="595959" w:themeColor="text1" w:themeTint="A6"/>
              <w:right w:val="nil"/>
            </w:tcBorders>
            <w:shd w:val="clear" w:color="auto" w:fill="F2F2F2"/>
          </w:tcPr>
          <w:p w:rsidR="005A06B9" w:rsidRPr="00D77146" w:rsidRDefault="005A06B9" w:rsidP="009C10C4">
            <w:pPr>
              <w:jc w:val="center"/>
              <w:rPr>
                <w:rFonts w:ascii="Segoe UI" w:hAnsi="Segoe UI" w:cs="Segoe UI"/>
                <w:b/>
                <w:color w:val="2E3335"/>
                <w:sz w:val="22"/>
              </w:rPr>
            </w:pPr>
            <w:r w:rsidRPr="00D77146">
              <w:rPr>
                <w:rFonts w:ascii="Segoe UI" w:hAnsi="Segoe UI" w:cs="Segoe UI"/>
                <w:color w:val="2E3335"/>
                <w:sz w:val="22"/>
              </w:rPr>
              <w:t>150.7</w:t>
            </w:r>
          </w:p>
        </w:tc>
      </w:tr>
    </w:tbl>
    <w:p w:rsidR="005A06B9" w:rsidRDefault="005A06B9" w:rsidP="005A06B9">
      <w:pPr>
        <w:pStyle w:val="Title"/>
        <w:rPr>
          <w:rFonts w:ascii="Segoe UI" w:hAnsi="Segoe UI" w:cs="Segoe UI"/>
          <w:b w:val="0"/>
          <w:sz w:val="22"/>
          <w:szCs w:val="22"/>
        </w:rPr>
      </w:pPr>
    </w:p>
    <w:p w:rsidR="005A06B9" w:rsidRDefault="005A06B9" w:rsidP="005A06B9">
      <w:pPr>
        <w:spacing w:after="120"/>
        <w:ind w:right="-640"/>
        <w:jc w:val="both"/>
        <w:rPr>
          <w:rFonts w:ascii="Segoe UI" w:hAnsi="Segoe UI" w:cs="Segoe UI"/>
          <w:b/>
          <w:bCs/>
        </w:rPr>
      </w:pPr>
    </w:p>
    <w:p w:rsidR="005A06B9" w:rsidRPr="00D77146" w:rsidRDefault="005A06B9" w:rsidP="005A06B9">
      <w:pPr>
        <w:spacing w:after="120"/>
        <w:ind w:right="-640"/>
        <w:jc w:val="both"/>
        <w:rPr>
          <w:rFonts w:ascii="Segoe UI" w:hAnsi="Segoe UI" w:cs="Segoe UI"/>
          <w:b/>
          <w:bCs/>
          <w:color w:val="2E3335"/>
        </w:rPr>
      </w:pPr>
      <w:r w:rsidRPr="00D77146">
        <w:rPr>
          <w:rFonts w:ascii="Segoe UI" w:hAnsi="Segoe UI" w:cs="Segoe UI"/>
          <w:b/>
          <w:bCs/>
          <w:noProof/>
          <w:color w:val="2E3335"/>
        </w:rPr>
        <mc:AlternateContent>
          <mc:Choice Requires="wps">
            <w:drawing>
              <wp:anchor distT="0" distB="0" distL="114300" distR="114300" simplePos="0" relativeHeight="251667968" behindDoc="0" locked="0" layoutInCell="1" allowOverlap="1" wp14:anchorId="57F05714" wp14:editId="3A49771A">
                <wp:simplePos x="0" y="0"/>
                <wp:positionH relativeFrom="margin">
                  <wp:posOffset>-8906</wp:posOffset>
                </wp:positionH>
                <wp:positionV relativeFrom="paragraph">
                  <wp:posOffset>257925</wp:posOffset>
                </wp:positionV>
                <wp:extent cx="6480000" cy="2054432"/>
                <wp:effectExtent l="0" t="0" r="16510" b="22225"/>
                <wp:wrapNone/>
                <wp:docPr id="287" name="Rounded Rectangle 287"/>
                <wp:cNvGraphicFramePr/>
                <a:graphic xmlns:a="http://schemas.openxmlformats.org/drawingml/2006/main">
                  <a:graphicData uri="http://schemas.microsoft.com/office/word/2010/wordprocessingShape">
                    <wps:wsp>
                      <wps:cNvSpPr/>
                      <wps:spPr>
                        <a:xfrm>
                          <a:off x="0" y="0"/>
                          <a:ext cx="6480000" cy="2054432"/>
                        </a:xfrm>
                        <a:prstGeom prst="roundRect">
                          <a:avLst>
                            <a:gd name="adj" fmla="val 5817"/>
                          </a:avLst>
                        </a:prstGeom>
                        <a:noFill/>
                        <a:ln>
                          <a:solidFill>
                            <a:srgbClr val="FF5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A06B9" w:rsidRPr="00D77146" w:rsidRDefault="005A06B9" w:rsidP="005A06B9">
                            <w:pPr>
                              <w:pStyle w:val="Header"/>
                              <w:spacing w:line="276" w:lineRule="auto"/>
                              <w:jc w:val="both"/>
                              <w:rPr>
                                <w:color w:val="2E3335"/>
                                <w:sz w:val="24"/>
                                <w:szCs w:val="24"/>
                              </w:rPr>
                            </w:pPr>
                            <w:r w:rsidRPr="00D77146">
                              <w:rPr>
                                <w:rFonts w:ascii="Segoe UI" w:hAnsi="Segoe UI" w:cs="Segoe UI"/>
                                <w:color w:val="2E3335"/>
                                <w:sz w:val="24"/>
                                <w:szCs w:val="24"/>
                              </w:rPr>
                              <w:t>“The 2018 Q1 results show stronger sales and continuing growth in developed markets, reflecting increasingly successful market development efforts along with an upgrade of our offering with next generation products and services for Lotteries digital transformation. Emphasis remains on growth in m</w:t>
                            </w:r>
                            <w:r w:rsidR="00715B59">
                              <w:rPr>
                                <w:rFonts w:ascii="Segoe UI" w:hAnsi="Segoe UI" w:cs="Segoe UI"/>
                                <w:color w:val="2E3335"/>
                                <w:sz w:val="24"/>
                                <w:szCs w:val="24"/>
                              </w:rPr>
                              <w:t>arkets such as the United States</w:t>
                            </w:r>
                            <w:r w:rsidRPr="00D77146">
                              <w:rPr>
                                <w:rFonts w:ascii="Segoe UI" w:hAnsi="Segoe UI" w:cs="Segoe UI"/>
                                <w:color w:val="2E3335"/>
                                <w:sz w:val="24"/>
                                <w:szCs w:val="24"/>
                              </w:rPr>
                              <w:t xml:space="preserve"> where the recent lift of the federal ban on sports betting creates tremendous business opportunities from the rise of a potential USD 20bn market in annual GGR terms, on top of great prospects in new flagship projects such as the Illinois State Lottery.”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05714" id="Rounded Rectangle 287" o:spid="_x0000_s1030" style="position:absolute;left:0;text-align:left;margin-left:-.7pt;margin-top:20.3pt;width:510.25pt;height:161.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" filled="f" strokecolor="#ff5000" strokeweight="1pt">
                <v:stroke dashstyle="dash" joinstyle="miter"/>
                <v:textbox>
                  <w:txbxContent>
                    <w:p w:rsidR="005A06B9" w:rsidRPr="00D77146" w:rsidRDefault="005A06B9" w:rsidP="005A06B9">
                      <w:pPr>
                        <w:pStyle w:val="Header"/>
                        <w:spacing w:line="276" w:lineRule="auto"/>
                        <w:jc w:val="both"/>
                        <w:rPr>
                          <w:color w:val="2E3335"/>
                          <w:sz w:val="24"/>
                          <w:szCs w:val="24"/>
                        </w:rPr>
                      </w:pPr>
                      <w:r w:rsidRPr="00D77146">
                        <w:rPr>
                          <w:rFonts w:ascii="Segoe UI" w:hAnsi="Segoe UI" w:cs="Segoe UI"/>
                          <w:color w:val="2E3335"/>
                          <w:sz w:val="24"/>
                          <w:szCs w:val="24"/>
                        </w:rPr>
                        <w:t>“The 2018 Q1 results show stronger sales and continuing growth in developed markets, reflecting increasingly successful market development efforts along with an upgrade of our offering with next generation products and services for Lotteries digital transformation. Emphasis remains on growth in m</w:t>
                      </w:r>
                      <w:r w:rsidR="00715B59">
                        <w:rPr>
                          <w:rFonts w:ascii="Segoe UI" w:hAnsi="Segoe UI" w:cs="Segoe UI"/>
                          <w:color w:val="2E3335"/>
                          <w:sz w:val="24"/>
                          <w:szCs w:val="24"/>
                        </w:rPr>
                        <w:t>arkets such as the United States</w:t>
                      </w:r>
                      <w:r w:rsidRPr="00D77146">
                        <w:rPr>
                          <w:rFonts w:ascii="Segoe UI" w:hAnsi="Segoe UI" w:cs="Segoe UI"/>
                          <w:color w:val="2E3335"/>
                          <w:sz w:val="24"/>
                          <w:szCs w:val="24"/>
                        </w:rPr>
                        <w:t xml:space="preserve"> where the recent lift of the federal ban on sports betting creates tremendous business opportunities from the rise of a potential USD 20bn market in annual GGR terms, on top of great prospects in new flagship projects such as the Illinois State Lottery.” </w:t>
                      </w:r>
                    </w:p>
                  </w:txbxContent>
                </v:textbox>
                <w10:wrap anchorx="margin"/>
              </v:roundrect>
            </w:pict>
          </mc:Fallback>
        </mc:AlternateContent>
      </w:r>
      <w:r w:rsidRPr="00D77146">
        <w:rPr>
          <w:rFonts w:ascii="Segoe UI" w:hAnsi="Segoe UI" w:cs="Segoe UI"/>
          <w:b/>
          <w:bCs/>
          <w:color w:val="2E3335"/>
        </w:rPr>
        <w:t>INTRALOT Group CEO Antonios Kerastaris noted:</w:t>
      </w:r>
    </w:p>
    <w:p w:rsidR="005A06B9" w:rsidRDefault="005A06B9" w:rsidP="005A06B9">
      <w:pPr>
        <w:pStyle w:val="Header"/>
        <w:ind w:left="-714"/>
        <w:jc w:val="both"/>
        <w:rPr>
          <w:rFonts w:ascii="Segoe UI" w:hAnsi="Segoe UI" w:cs="Segoe UI"/>
          <w:b/>
          <w:color w:val="FF5000"/>
          <w:sz w:val="22"/>
        </w:rPr>
      </w:pPr>
    </w:p>
    <w:p w:rsidR="005A06B9" w:rsidRPr="00A007E9" w:rsidRDefault="005A06B9" w:rsidP="005A06B9">
      <w:pPr>
        <w:pStyle w:val="Header"/>
        <w:jc w:val="both"/>
        <w:rPr>
          <w:rFonts w:ascii="Segoe UI" w:hAnsi="Segoe UI" w:cs="Segoe UI"/>
          <w:b/>
          <w:color w:val="FF5000"/>
          <w:sz w:val="22"/>
        </w:rPr>
      </w:pPr>
    </w:p>
    <w:p w:rsidR="005A06B9" w:rsidRDefault="005A06B9" w:rsidP="005A06B9">
      <w:pPr>
        <w:rPr>
          <w:rFonts w:ascii="Segoe UI" w:hAnsi="Segoe UI" w:cs="Segoe UI"/>
          <w:b/>
          <w:color w:val="FF5000"/>
          <w:sz w:val="22"/>
        </w:rPr>
      </w:pPr>
      <w:r>
        <w:rPr>
          <w:rFonts w:ascii="Segoe UI" w:hAnsi="Segoe UI" w:cs="Segoe UI"/>
          <w:b/>
          <w:color w:val="FF5000"/>
          <w:sz w:val="22"/>
        </w:rPr>
        <w:br w:type="page"/>
      </w:r>
      <w:bookmarkStart w:id="0" w:name="_GoBack"/>
      <w:bookmarkEnd w:id="0"/>
    </w:p>
    <w:p w:rsidR="005A06B9" w:rsidRPr="001471EF" w:rsidRDefault="005A06B9" w:rsidP="005A06B9">
      <w:pPr>
        <w:pStyle w:val="Header"/>
        <w:spacing w:after="240"/>
        <w:ind w:right="-760"/>
        <w:jc w:val="both"/>
        <w:rPr>
          <w:rFonts w:ascii="Segoe UI" w:hAnsi="Segoe UI" w:cs="Segoe UI"/>
          <w:b/>
          <w:color w:val="FF5000"/>
          <w:sz w:val="24"/>
        </w:rPr>
      </w:pPr>
      <w:r w:rsidRPr="001471EF">
        <w:rPr>
          <w:rFonts w:ascii="Segoe UI" w:hAnsi="Segoe UI" w:cs="Segoe UI"/>
          <w:b/>
          <w:color w:val="FF5000"/>
          <w:sz w:val="24"/>
        </w:rPr>
        <w:lastRenderedPageBreak/>
        <w:t>OVERVIEW OF</w:t>
      </w:r>
      <w:r w:rsidRPr="001471EF">
        <w:rPr>
          <w:rFonts w:ascii="Segoe UI" w:hAnsi="Segoe UI" w:cs="Segoe UI"/>
          <w:b/>
          <w:sz w:val="24"/>
        </w:rPr>
        <w:t xml:space="preserve"> </w:t>
      </w:r>
      <w:r w:rsidRPr="001471EF">
        <w:rPr>
          <w:rFonts w:ascii="Segoe UI" w:hAnsi="Segoe UI" w:cs="Segoe UI"/>
          <w:b/>
          <w:color w:val="FF5000"/>
          <w:sz w:val="24"/>
        </w:rPr>
        <w:t>RESULTS</w:t>
      </w: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Cs/>
          <w:noProof/>
          <w:color w:val="2E3335"/>
          <w:sz w:val="22"/>
        </w:rPr>
        <w:drawing>
          <wp:anchor distT="0" distB="0" distL="114300" distR="114300" simplePos="0" relativeHeight="251675136" behindDoc="0" locked="0" layoutInCell="1" allowOverlap="1" wp14:anchorId="2F6AFC4F" wp14:editId="365E30B3">
            <wp:simplePos x="0" y="0"/>
            <wp:positionH relativeFrom="column">
              <wp:posOffset>3347366</wp:posOffset>
            </wp:positionH>
            <wp:positionV relativeFrom="paragraph">
              <wp:posOffset>339090</wp:posOffset>
            </wp:positionV>
            <wp:extent cx="3240000" cy="408390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4083909"/>
                    </a:xfrm>
                    <a:prstGeom prst="rect">
                      <a:avLst/>
                    </a:prstGeom>
                    <a:noFill/>
                  </pic:spPr>
                </pic:pic>
              </a:graphicData>
            </a:graphic>
            <wp14:sizeRelH relativeFrom="margin">
              <wp14:pctWidth>0</wp14:pctWidth>
            </wp14:sizeRelH>
            <wp14:sizeRelV relativeFrom="margin">
              <wp14:pctHeight>0</wp14:pctHeight>
            </wp14:sizeRelV>
          </wp:anchor>
        </w:drawing>
      </w:r>
      <w:r w:rsidRPr="00D77146">
        <w:rPr>
          <w:rFonts w:ascii="Segoe UI" w:hAnsi="Segoe UI" w:cs="Segoe UI"/>
          <w:b/>
          <w:bCs/>
          <w:color w:val="2E3335"/>
          <w:sz w:val="22"/>
        </w:rPr>
        <w:t>WAGERS HANDLED</w:t>
      </w:r>
    </w:p>
    <w:p w:rsidR="005A06B9" w:rsidRPr="00D77146" w:rsidRDefault="005A06B9" w:rsidP="005A06B9">
      <w:pPr>
        <w:pStyle w:val="Header"/>
        <w:spacing w:after="120"/>
        <w:ind w:right="41"/>
        <w:jc w:val="both"/>
        <w:rPr>
          <w:rFonts w:ascii="Segoe UI" w:hAnsi="Segoe UI" w:cs="Segoe UI"/>
          <w:bCs/>
          <w:color w:val="2E3335"/>
          <w:sz w:val="22"/>
        </w:rPr>
      </w:pPr>
      <w:r w:rsidRPr="00D77146">
        <w:rPr>
          <w:rFonts w:ascii="Segoe UI" w:hAnsi="Segoe UI" w:cs="Segoe UI"/>
          <w:bCs/>
          <w:color w:val="2E3335"/>
          <w:sz w:val="22"/>
        </w:rPr>
        <w:t>During the three-month period ended March 31</w:t>
      </w:r>
      <w:r w:rsidRPr="00D77146">
        <w:rPr>
          <w:rFonts w:ascii="Segoe UI" w:hAnsi="Segoe UI" w:cs="Segoe UI"/>
          <w:bCs/>
          <w:color w:val="2E3335"/>
          <w:sz w:val="22"/>
          <w:vertAlign w:val="superscript"/>
        </w:rPr>
        <w:t>st</w:t>
      </w:r>
      <w:r w:rsidRPr="00D77146">
        <w:rPr>
          <w:rFonts w:ascii="Segoe UI" w:hAnsi="Segoe UI" w:cs="Segoe UI"/>
          <w:bCs/>
          <w:color w:val="2E3335"/>
          <w:sz w:val="22"/>
        </w:rPr>
        <w:t>, 2018, INTRALOT systems handled €6.3b of worldwide wagers (from continuing operations), a 2.0% y-o-y decrease. Africa’s wagers increased by 20.3%, East Europe’s by 8.5%, and South America’s by 7.1%; while Asia’s decreased by 6.9%, West Europe’s by 2.2%, and North America’s by 1.0%.</w:t>
      </w:r>
    </w:p>
    <w:p w:rsidR="005A06B9" w:rsidRPr="00D77146" w:rsidRDefault="005A06B9" w:rsidP="005A06B9">
      <w:pPr>
        <w:pStyle w:val="Header"/>
        <w:spacing w:before="240" w:after="240"/>
        <w:ind w:right="-760"/>
        <w:rPr>
          <w:rFonts w:ascii="Segoe UI" w:hAnsi="Segoe UI" w:cs="Segoe UI"/>
          <w:b/>
          <w:color w:val="2E3335"/>
          <w:sz w:val="22"/>
        </w:rPr>
      </w:pPr>
      <w:r w:rsidRPr="00D77146">
        <w:rPr>
          <w:rFonts w:ascii="Segoe UI" w:hAnsi="Segoe UI" w:cs="Segoe UI"/>
          <w:b/>
          <w:bCs/>
          <w:color w:val="2E3335"/>
          <w:sz w:val="22"/>
        </w:rPr>
        <w:t>REVENUE</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Cs/>
          <w:color w:val="2E3335"/>
          <w:sz w:val="22"/>
        </w:rPr>
        <w:t>Reported consolidated revenues increased by 4.3% compared to 1Q17, leading to total revenues for the three-month period ended March 31</w:t>
      </w:r>
      <w:r w:rsidRPr="00D77146">
        <w:rPr>
          <w:rFonts w:ascii="Segoe UI" w:hAnsi="Segoe UI" w:cs="Segoe UI"/>
          <w:bCs/>
          <w:color w:val="2E3335"/>
          <w:sz w:val="22"/>
          <w:vertAlign w:val="superscript"/>
        </w:rPr>
        <w:t>st</w:t>
      </w:r>
      <w:r w:rsidRPr="00D77146">
        <w:rPr>
          <w:rFonts w:ascii="Segoe UI" w:hAnsi="Segoe UI" w:cs="Segoe UI"/>
          <w:bCs/>
          <w:color w:val="2E3335"/>
          <w:sz w:val="22"/>
        </w:rPr>
        <w:t xml:space="preserve">, 2018, of €280.7m. </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right="27" w:hanging="284"/>
        <w:jc w:val="both"/>
        <w:rPr>
          <w:rFonts w:ascii="Segoe UI" w:hAnsi="Segoe UI" w:cs="Segoe UI"/>
          <w:bCs/>
          <w:color w:val="2E3335"/>
          <w:sz w:val="22"/>
        </w:rPr>
      </w:pPr>
      <w:r w:rsidRPr="00D77146">
        <w:rPr>
          <w:rFonts w:ascii="Segoe UI" w:hAnsi="Segoe UI" w:cs="Segoe UI"/>
          <w:bCs/>
          <w:color w:val="2E3335"/>
          <w:sz w:val="22"/>
        </w:rPr>
        <w:t>Sports Betting was the largest contributor to our top line, comprising 58.9% of our revenues (posting double digit revenue growth, +11.9% year over year), followed by Lottery Games contributing 29.7% to Group turnover. Technology contracts accounted for 6.2% and VLTs represented 2.8% of Group turnover while Racing constituted the 2.4% of total revenues of 1Q18.</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Cs/>
          <w:color w:val="2E3335"/>
          <w:sz w:val="22"/>
        </w:rPr>
        <w:t>Reported consolidated revenues for the three-month period are up by €11.7m year over year. The main factors that drove top line performance per Business Activity are:</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bCs/>
          <w:color w:val="2E3335"/>
          <w:sz w:val="22"/>
        </w:rPr>
        <w:t xml:space="preserve">€+7.7m (+4.1%) from our </w:t>
      </w:r>
      <w:r w:rsidRPr="00D77146">
        <w:rPr>
          <w:rFonts w:ascii="Segoe UI" w:hAnsi="Segoe UI" w:cs="Segoe UI"/>
          <w:b/>
          <w:bCs/>
          <w:color w:val="2E3335"/>
          <w:sz w:val="22"/>
        </w:rPr>
        <w:t>Licensed Operations (B2C)</w:t>
      </w:r>
      <w:r w:rsidRPr="00D77146">
        <w:rPr>
          <w:rFonts w:ascii="Segoe UI" w:hAnsi="Segoe UI" w:cs="Segoe UI"/>
          <w:bCs/>
          <w:color w:val="2E3335"/>
          <w:sz w:val="22"/>
        </w:rPr>
        <w:t xml:space="preserve"> activity line with the increase attributed mainly to higher revenues in:</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color w:val="2E3335"/>
          <w:sz w:val="22"/>
        </w:rPr>
        <w:t>Poland</w:t>
      </w:r>
      <w:r w:rsidRPr="00D77146">
        <w:rPr>
          <w:rFonts w:ascii="Segoe UI" w:hAnsi="Segoe UI" w:cs="Segoe UI"/>
          <w:bCs/>
          <w:color w:val="2E3335"/>
          <w:sz w:val="22"/>
        </w:rPr>
        <w:t xml:space="preserve"> with additional revenues of €7.9m due to the growth of the interactive Sport Betting channel (following market regulation) and the introduction of Virtual Games in 2Q17.</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color w:val="2E3335"/>
          <w:sz w:val="22"/>
        </w:rPr>
        <w:t>Bulgaria</w:t>
      </w:r>
      <w:r w:rsidRPr="00D77146">
        <w:rPr>
          <w:rFonts w:ascii="Segoe UI" w:hAnsi="Segoe UI" w:cs="Segoe UI"/>
          <w:bCs/>
          <w:color w:val="2E3335"/>
          <w:sz w:val="22"/>
        </w:rPr>
        <w:t xml:space="preserve"> (€+6.1m), mainly due to the growth in Virtual Sports fueled in part by the increased payout.</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color w:val="2E3335"/>
          <w:sz w:val="22"/>
        </w:rPr>
        <w:t>Azerbaijan</w:t>
      </w:r>
      <w:r w:rsidRPr="00D77146">
        <w:rPr>
          <w:rFonts w:ascii="Segoe UI" w:hAnsi="Segoe UI" w:cs="Segoe UI"/>
          <w:bCs/>
          <w:color w:val="2E3335"/>
          <w:sz w:val="22"/>
        </w:rPr>
        <w:t xml:space="preserve"> (€+1.7m), driven by the Sports Betting revenue growth (both retail and online)</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Cs/>
          <w:color w:val="2E3335"/>
          <w:sz w:val="22"/>
        </w:rPr>
        <w:t>in part offset</w:t>
      </w:r>
      <w:r w:rsidRPr="00D77146">
        <w:rPr>
          <w:rFonts w:ascii="Segoe UI" w:hAnsi="Segoe UI" w:cs="Segoe UI"/>
          <w:b/>
          <w:bCs/>
          <w:color w:val="2E3335"/>
          <w:sz w:val="22"/>
        </w:rPr>
        <w:t xml:space="preserve"> </w:t>
      </w:r>
      <w:r w:rsidRPr="00D77146">
        <w:rPr>
          <w:rFonts w:ascii="Segoe UI" w:hAnsi="Segoe UI" w:cs="Segoe UI"/>
          <w:bCs/>
          <w:color w:val="2E3335"/>
          <w:sz w:val="22"/>
        </w:rPr>
        <w:t xml:space="preserve">by the impact of the suspended license in </w:t>
      </w:r>
      <w:r w:rsidRPr="00D77146">
        <w:rPr>
          <w:rFonts w:ascii="Segoe UI" w:hAnsi="Segoe UI" w:cs="Segoe UI"/>
          <w:b/>
          <w:bCs/>
          <w:color w:val="2E3335"/>
          <w:sz w:val="22"/>
        </w:rPr>
        <w:t>Cyprus</w:t>
      </w:r>
      <w:r w:rsidRPr="00D77146">
        <w:rPr>
          <w:rFonts w:ascii="Segoe UI" w:hAnsi="Segoe UI" w:cs="Segoe UI"/>
          <w:bCs/>
          <w:color w:val="2E3335"/>
          <w:sz w:val="22"/>
        </w:rPr>
        <w:t xml:space="preserve"> in 4Q 2017 (€-4.8m)</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proofErr w:type="gramStart"/>
      <w:r w:rsidRPr="00D77146">
        <w:rPr>
          <w:rFonts w:ascii="Segoe UI" w:hAnsi="Segoe UI" w:cs="Segoe UI"/>
          <w:bCs/>
          <w:color w:val="2E3335"/>
          <w:sz w:val="22"/>
        </w:rPr>
        <w:t>and</w:t>
      </w:r>
      <w:proofErr w:type="gramEnd"/>
      <w:r w:rsidRPr="00D77146">
        <w:rPr>
          <w:rFonts w:ascii="Segoe UI" w:hAnsi="Segoe UI" w:cs="Segoe UI"/>
          <w:bCs/>
          <w:color w:val="2E3335"/>
          <w:sz w:val="22"/>
        </w:rPr>
        <w:t xml:space="preserve"> the lower recorded revenues, in Euro terms, from our </w:t>
      </w:r>
      <w:r w:rsidRPr="00D77146">
        <w:rPr>
          <w:rFonts w:ascii="Segoe UI" w:hAnsi="Segoe UI" w:cs="Segoe UI"/>
          <w:b/>
          <w:bCs/>
          <w:color w:val="2E3335"/>
          <w:sz w:val="22"/>
        </w:rPr>
        <w:t>Argentinean</w:t>
      </w:r>
      <w:r w:rsidRPr="00D77146">
        <w:rPr>
          <w:rFonts w:ascii="Segoe UI" w:hAnsi="Segoe UI" w:cs="Segoe UI"/>
          <w:bCs/>
          <w:color w:val="2E3335"/>
          <w:sz w:val="22"/>
        </w:rPr>
        <w:t xml:space="preserve"> licensed operations (€-1.2m). In local currency, 1Q18 results posted a c.+34.0% year over year increase (higher compared to the 2015-2017 CAGR of c.27.0% in part also due to higher payout in 1Q18 vs. FY2017 and FY2016), heavily affected though by the local currency fluctuations (c.45.0% devaluation against the Euro versus a year ago) which is also the main driver for the worsening performance in Euro terms in the three-month period</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bCs/>
          <w:color w:val="2E3335"/>
          <w:sz w:val="22"/>
        </w:rPr>
        <w:lastRenderedPageBreak/>
        <w:t xml:space="preserve">€+5.2m (+18.2%) from our </w:t>
      </w:r>
      <w:r w:rsidRPr="00D77146">
        <w:rPr>
          <w:rFonts w:ascii="Segoe UI" w:hAnsi="Segoe UI" w:cs="Segoe UI"/>
          <w:b/>
          <w:bCs/>
          <w:color w:val="2E3335"/>
          <w:sz w:val="22"/>
        </w:rPr>
        <w:t>Management (B2B/ B2G)</w:t>
      </w:r>
      <w:r w:rsidRPr="00D77146">
        <w:rPr>
          <w:rFonts w:ascii="Segoe UI" w:hAnsi="Segoe UI" w:cs="Segoe UI"/>
          <w:bCs/>
          <w:color w:val="2E3335"/>
          <w:sz w:val="22"/>
        </w:rPr>
        <w:t xml:space="preserve"> contracts activity line with the increase driven mainly by: </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noProof/>
          <w:color w:val="2E3335"/>
          <w:sz w:val="22"/>
        </w:rPr>
        <w:drawing>
          <wp:anchor distT="0" distB="0" distL="114300" distR="114300" simplePos="0" relativeHeight="251674112" behindDoc="0" locked="0" layoutInCell="1" allowOverlap="1" wp14:anchorId="567F203D" wp14:editId="66049C80">
            <wp:simplePos x="0" y="0"/>
            <wp:positionH relativeFrom="column">
              <wp:posOffset>2659513</wp:posOffset>
            </wp:positionH>
            <wp:positionV relativeFrom="paragraph">
              <wp:posOffset>3175</wp:posOffset>
            </wp:positionV>
            <wp:extent cx="3923665" cy="62401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3665" cy="6240145"/>
                    </a:xfrm>
                    <a:prstGeom prst="rect">
                      <a:avLst/>
                    </a:prstGeom>
                    <a:noFill/>
                  </pic:spPr>
                </pic:pic>
              </a:graphicData>
            </a:graphic>
          </wp:anchor>
        </w:drawing>
      </w:r>
      <w:r w:rsidRPr="00D77146">
        <w:rPr>
          <w:rFonts w:ascii="Segoe UI" w:hAnsi="Segoe UI" w:cs="Segoe UI"/>
          <w:b/>
          <w:bCs/>
          <w:color w:val="2E3335"/>
          <w:sz w:val="22"/>
        </w:rPr>
        <w:t>Turkey’s</w:t>
      </w:r>
      <w:r w:rsidRPr="00D77146">
        <w:rPr>
          <w:rFonts w:ascii="Segoe UI" w:hAnsi="Segoe UI" w:cs="Segoe UI"/>
          <w:bCs/>
          <w:color w:val="2E3335"/>
          <w:sz w:val="22"/>
        </w:rPr>
        <w:t xml:space="preserve"> (€+3.8m) revenue increase attributed both to the growth of the Sport Betting Market year over year (c.+26% in local currency) as well as due to the shift towards Online Sports Betting (close to 60% market share vs. slightly below 50% a year ago). The benefit of the Sports Betting market expansion and mix change has been partially offset by the devaluation of the local currency (c.19.0% devaluation against the Euro versus a year ago)</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color w:val="2E3335"/>
          <w:sz w:val="22"/>
        </w:rPr>
        <w:t>Morocco’s</w:t>
      </w:r>
      <w:r w:rsidRPr="00D77146">
        <w:rPr>
          <w:rFonts w:ascii="Segoe UI" w:hAnsi="Segoe UI" w:cs="Segoe UI"/>
          <w:bCs/>
          <w:color w:val="2E3335"/>
          <w:sz w:val="22"/>
        </w:rPr>
        <w:t xml:space="preserve"> (€+1.6m) Sports Betting sales uplift attributed to the enhanced product offering </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bCs/>
          <w:color w:val="2E3335"/>
          <w:sz w:val="22"/>
        </w:rPr>
        <w:t xml:space="preserve">€-1.2m (-2.3%) from our </w:t>
      </w:r>
      <w:r w:rsidRPr="00D77146">
        <w:rPr>
          <w:rFonts w:ascii="Segoe UI" w:hAnsi="Segoe UI" w:cs="Segoe UI"/>
          <w:b/>
          <w:bCs/>
          <w:color w:val="2E3335"/>
          <w:sz w:val="22"/>
        </w:rPr>
        <w:t>Technology and Support Services (B2B/ B2G)</w:t>
      </w:r>
      <w:r w:rsidRPr="00D77146">
        <w:rPr>
          <w:rFonts w:ascii="Segoe UI" w:hAnsi="Segoe UI" w:cs="Segoe UI"/>
          <w:bCs/>
          <w:color w:val="2E3335"/>
          <w:sz w:val="22"/>
        </w:rPr>
        <w:t xml:space="preserve"> activity line with the decrease attributed mainly to:</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color w:val="2E3335"/>
          <w:sz w:val="22"/>
        </w:rPr>
        <w:t>US</w:t>
      </w:r>
      <w:r w:rsidRPr="00D77146">
        <w:rPr>
          <w:rFonts w:ascii="Segoe UI" w:hAnsi="Segoe UI" w:cs="Segoe UI"/>
          <w:bCs/>
          <w:color w:val="2E3335"/>
          <w:sz w:val="22"/>
        </w:rPr>
        <w:t xml:space="preserve"> operations worse performance (€-0.9m) in Euro terms. In local currency base our US operations recorded double digit growth compared to 1Q17 (c</w:t>
      </w:r>
      <w:proofErr w:type="gramStart"/>
      <w:r w:rsidRPr="00D77146">
        <w:rPr>
          <w:rFonts w:ascii="Segoe UI" w:hAnsi="Segoe UI" w:cs="Segoe UI"/>
          <w:bCs/>
          <w:color w:val="2E3335"/>
          <w:sz w:val="22"/>
        </w:rPr>
        <w:t>.+</w:t>
      </w:r>
      <w:proofErr w:type="gramEnd"/>
      <w:r w:rsidRPr="00D77146">
        <w:rPr>
          <w:rFonts w:ascii="Segoe UI" w:hAnsi="Segoe UI" w:cs="Segoe UI"/>
          <w:bCs/>
          <w:color w:val="2E3335"/>
          <w:sz w:val="22"/>
        </w:rPr>
        <w:t>11.0%) driven by the numerical segment stronger performance, which has been fully offset though by the adverse USD movement (c.15.0% devaluation against the Euro versus a year ago). The double digit growth has also been supported by the Idaho contract renewal on better terms.</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D77146">
        <w:rPr>
          <w:rFonts w:ascii="Segoe UI" w:hAnsi="Segoe UI" w:cs="Segoe UI"/>
          <w:b/>
          <w:bCs/>
          <w:color w:val="2E3335"/>
          <w:sz w:val="22"/>
        </w:rPr>
        <w:t>Argentina’s</w:t>
      </w:r>
      <w:r w:rsidRPr="00D77146">
        <w:rPr>
          <w:rFonts w:ascii="Segoe UI" w:hAnsi="Segoe UI" w:cs="Segoe UI"/>
          <w:bCs/>
          <w:color w:val="2E3335"/>
          <w:sz w:val="22"/>
        </w:rPr>
        <w:t xml:space="preserve"> lower recorded sales in Euro terms (€-0.9m) as a result of the significantly adverse FX movement. In local currency, 1Q18 results posted a c.+26.0% year over year increase (lower compared to the 2015-2017 CAGR of c.32.0%), heavily affected though by the local currency fluctuations (c.45.0% devaluation against the Euro versus a year ago) </w:t>
      </w:r>
    </w:p>
    <w:p w:rsidR="005A06B9" w:rsidRPr="00D77146"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
          <w:bCs/>
          <w:color w:val="2E3335"/>
          <w:sz w:val="22"/>
        </w:rPr>
      </w:pPr>
      <w:r w:rsidRPr="00D77146">
        <w:rPr>
          <w:rFonts w:ascii="Segoe UI" w:hAnsi="Segoe UI" w:cs="Segoe UI"/>
          <w:bCs/>
          <w:color w:val="2E3335"/>
          <w:sz w:val="22"/>
        </w:rPr>
        <w:t xml:space="preserve">partially offset by the maturing </w:t>
      </w:r>
      <w:r w:rsidRPr="00D77146">
        <w:rPr>
          <w:rFonts w:ascii="Segoe UI" w:hAnsi="Segoe UI" w:cs="Segoe UI"/>
          <w:b/>
          <w:bCs/>
          <w:color w:val="2E3335"/>
          <w:sz w:val="22"/>
        </w:rPr>
        <w:t>Chilean</w:t>
      </w:r>
      <w:r w:rsidRPr="00D77146">
        <w:rPr>
          <w:rFonts w:ascii="Segoe UI" w:hAnsi="Segoe UI" w:cs="Segoe UI"/>
          <w:bCs/>
          <w:color w:val="2E3335"/>
          <w:sz w:val="22"/>
        </w:rPr>
        <w:t xml:space="preserve"> contract (€+0.6m) that went live in early 1Q17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
          <w:bCs/>
          <w:color w:val="2E3335"/>
          <w:sz w:val="22"/>
        </w:rPr>
        <w:t>Constant currency basis</w:t>
      </w:r>
      <w:r w:rsidRPr="00D77146">
        <w:rPr>
          <w:rFonts w:ascii="Segoe UI" w:hAnsi="Segoe UI" w:cs="Segoe UI"/>
          <w:bCs/>
          <w:color w:val="2E3335"/>
          <w:sz w:val="22"/>
        </w:rPr>
        <w:t>: In 1Q18, revenues—net of the negative FX impact of €22.4m—reached €303.0m (+12.7% y-o-y).</w:t>
      </w: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lastRenderedPageBreak/>
        <w:t>GROSS GAMING REVENUE &amp; Payout</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Cs/>
          <w:color w:val="2E3335"/>
          <w:sz w:val="22"/>
        </w:rPr>
        <w:t>Gross Gaming Revenue (GGR) from continuing operations increased by 2.5% (€+3.4m to €141.5m) year over year driven by:</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bCs/>
          <w:noProof/>
          <w:color w:val="2E3335"/>
          <w:sz w:val="22"/>
        </w:rPr>
        <w:drawing>
          <wp:anchor distT="0" distB="0" distL="114300" distR="114300" simplePos="0" relativeHeight="251672064" behindDoc="0" locked="0" layoutInCell="1" allowOverlap="1" wp14:anchorId="59F4BA42" wp14:editId="1C9A5510">
            <wp:simplePos x="0" y="0"/>
            <wp:positionH relativeFrom="column">
              <wp:posOffset>4193540</wp:posOffset>
            </wp:positionH>
            <wp:positionV relativeFrom="page">
              <wp:posOffset>971550</wp:posOffset>
            </wp:positionV>
            <wp:extent cx="2339975" cy="3424555"/>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975" cy="3424555"/>
                    </a:xfrm>
                    <a:prstGeom prst="rect">
                      <a:avLst/>
                    </a:prstGeom>
                    <a:noFill/>
                  </pic:spPr>
                </pic:pic>
              </a:graphicData>
            </a:graphic>
            <wp14:sizeRelH relativeFrom="margin">
              <wp14:pctWidth>0</wp14:pctWidth>
            </wp14:sizeRelH>
            <wp14:sizeRelV relativeFrom="margin">
              <wp14:pctHeight>0</wp14:pctHeight>
            </wp14:sizeRelV>
          </wp:anchor>
        </w:drawing>
      </w:r>
      <w:r w:rsidRPr="00D77146">
        <w:rPr>
          <w:rFonts w:ascii="Segoe UI" w:hAnsi="Segoe UI" w:cs="Segoe UI"/>
          <w:bCs/>
          <w:color w:val="2E3335"/>
          <w:sz w:val="22"/>
        </w:rPr>
        <w:t xml:space="preserve">The increase of the non-payout related GGR (+4.5% y-o-y or €3.7m) mainly due to the increase in our Management Contracts activity line revenue (+18.2% y-o-y or €+5.2m), partially offset by the softer top line performance of our Technology and Support Services activities (-2.3% y-o-y or €-1.2m) </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bCs/>
          <w:color w:val="2E3335"/>
          <w:sz w:val="22"/>
        </w:rPr>
        <w:t>and the marginal decrease in our payout related GGR (-0.5% y-o-y or €-0.3m), which despite showcasing top line growth (+4.3% y-o-y on wagers</w:t>
      </w:r>
      <w:r w:rsidRPr="00D77146">
        <w:rPr>
          <w:color w:val="2E3335"/>
          <w:vertAlign w:val="superscript"/>
        </w:rPr>
        <w:footnoteReference w:id="2"/>
      </w:r>
      <w:r w:rsidRPr="00D77146">
        <w:rPr>
          <w:rFonts w:ascii="Segoe UI" w:hAnsi="Segoe UI" w:cs="Segoe UI"/>
          <w:bCs/>
          <w:color w:val="2E3335"/>
          <w:sz w:val="22"/>
        </w:rPr>
        <w:t xml:space="preserve">), this came at an increased average Payout resulting overall in a slight decrease in GGR from payout related revenue. In 1Q18 the average Payout Ratio was up by 1.4pps vs. 1Q17 (71.8% vs. 70.4%) primarily due to increasing revenue contribution of countries with above average Payout (e.g. Bulgaria &amp; Poland) as well as due to an increasing payout trend across most operations vs. LY. The Payout Ratio in 1Q18 has benefited from the suspended license in </w:t>
      </w:r>
      <w:r w:rsidRPr="00D77146">
        <w:rPr>
          <w:rFonts w:ascii="Segoe UI" w:hAnsi="Segoe UI" w:cs="Segoe UI"/>
          <w:b/>
          <w:bCs/>
          <w:color w:val="2E3335"/>
          <w:sz w:val="22"/>
        </w:rPr>
        <w:t>Cyprus</w:t>
      </w:r>
      <w:r w:rsidRPr="00D77146">
        <w:rPr>
          <w:rFonts w:ascii="Segoe UI" w:hAnsi="Segoe UI" w:cs="Segoe UI"/>
          <w:bCs/>
          <w:color w:val="2E3335"/>
          <w:sz w:val="22"/>
        </w:rPr>
        <w:t xml:space="preserve"> in 4Q 2017.</w:t>
      </w:r>
    </w:p>
    <w:p w:rsidR="005A06B9" w:rsidRPr="00D77146" w:rsidRDefault="005A06B9" w:rsidP="005A06B9">
      <w:pPr>
        <w:pStyle w:val="Header"/>
        <w:spacing w:after="120"/>
        <w:jc w:val="both"/>
        <w:rPr>
          <w:rFonts w:ascii="Segoe UI" w:hAnsi="Segoe UI" w:cs="Segoe UI"/>
          <w:bCs/>
          <w:color w:val="2E3335"/>
          <w:sz w:val="22"/>
        </w:rPr>
      </w:pP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EBITDA &amp; EBITDA MARGINS</w:t>
      </w:r>
      <w:r w:rsidRPr="00D77146">
        <w:rPr>
          <w:rStyle w:val="FootnoteReference"/>
          <w:rFonts w:ascii="Segoe UI" w:hAnsi="Segoe UI" w:cs="Segoe UI"/>
          <w:b/>
          <w:bCs/>
          <w:color w:val="2E3335"/>
          <w:sz w:val="22"/>
        </w:rPr>
        <w:footnoteReference w:id="3"/>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
          <w:bCs/>
          <w:color w:val="2E3335"/>
          <w:sz w:val="22"/>
        </w:rPr>
        <w:t>EBITDA</w:t>
      </w:r>
      <w:r w:rsidRPr="00D77146">
        <w:rPr>
          <w:rFonts w:ascii="Segoe UI" w:hAnsi="Segoe UI" w:cs="Segoe UI"/>
          <w:bCs/>
          <w:color w:val="2E3335"/>
          <w:sz w:val="22"/>
        </w:rPr>
        <w:t>, from continuing operations, developed to €42.6m in 1Q18, posting an increase of 1.9% (€+0.8m) compared to the 1Q17 results.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Cs/>
          <w:color w:val="2E3335"/>
          <w:sz w:val="22"/>
        </w:rPr>
        <w:t>The main 1Q18 EBITDA growth drivers, besides the improved 1Q18 GGR, is:</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proofErr w:type="gramStart"/>
      <w:r w:rsidRPr="00D77146">
        <w:rPr>
          <w:rFonts w:ascii="Segoe UI" w:hAnsi="Segoe UI" w:cs="Segoe UI"/>
          <w:bCs/>
          <w:color w:val="2E3335"/>
          <w:sz w:val="22"/>
        </w:rPr>
        <w:t>the</w:t>
      </w:r>
      <w:proofErr w:type="gramEnd"/>
      <w:r w:rsidRPr="00D77146">
        <w:rPr>
          <w:rFonts w:ascii="Segoe UI" w:hAnsi="Segoe UI" w:cs="Segoe UI"/>
          <w:bCs/>
          <w:color w:val="2E3335"/>
          <w:sz w:val="22"/>
        </w:rPr>
        <w:t xml:space="preserve"> improvement in the </w:t>
      </w:r>
      <w:r w:rsidRPr="00D77146">
        <w:rPr>
          <w:rFonts w:ascii="Segoe UI" w:hAnsi="Segoe UI" w:cs="Segoe UI"/>
          <w:b/>
          <w:bCs/>
          <w:color w:val="2E3335"/>
          <w:sz w:val="22"/>
        </w:rPr>
        <w:t>Taxes &amp; Agent Fees</w:t>
      </w:r>
      <w:r w:rsidRPr="00D77146">
        <w:rPr>
          <w:rFonts w:ascii="Segoe UI" w:hAnsi="Segoe UI" w:cs="Segoe UI"/>
          <w:bCs/>
          <w:color w:val="2E3335"/>
          <w:sz w:val="22"/>
        </w:rPr>
        <w:t xml:space="preserve"> margin (+1.3% over GGR) as a result of the product mix change (B2B/ B2G contracts increasing contribution vs. B2C contracts) as well as the improvement of the Taxes &amp; Agent Fees margin in each of the two categories. The B2C contracts Taxes &amp; Agent Fees margin improvement is mainly driven by the suspension of the license in Cyprus, while that of the B2B/ B2G segment is driven by a more favorable sales mix in the retail Sports Betting segment in Turkey</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bCs/>
          <w:color w:val="2E3335"/>
          <w:sz w:val="22"/>
        </w:rPr>
        <w:t xml:space="preserve">the improvement in the </w:t>
      </w:r>
      <w:r w:rsidRPr="00D77146">
        <w:rPr>
          <w:rFonts w:ascii="Segoe UI" w:hAnsi="Segoe UI" w:cs="Segoe UI"/>
          <w:b/>
          <w:bCs/>
          <w:color w:val="2E3335"/>
          <w:sz w:val="22"/>
        </w:rPr>
        <w:t>Rest of Cost of Sales</w:t>
      </w:r>
      <w:r w:rsidRPr="00D77146">
        <w:rPr>
          <w:rFonts w:ascii="Segoe UI" w:hAnsi="Segoe UI" w:cs="Segoe UI"/>
          <w:bCs/>
          <w:color w:val="2E3335"/>
          <w:sz w:val="22"/>
        </w:rPr>
        <w:t xml:space="preserve"> margin (+1.1% over GGR) driven mainly by the improvement in the margin of the B2B/ B2G contracts following direct cost optimization in our US operations</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noProof/>
          <w:color w:val="2E3335"/>
          <w:sz w:val="22"/>
        </w:rPr>
        <w:t>partially</w:t>
      </w:r>
      <w:r w:rsidRPr="00D77146">
        <w:rPr>
          <w:rFonts w:ascii="Segoe UI" w:hAnsi="Segoe UI" w:cs="Segoe UI"/>
          <w:bCs/>
          <w:color w:val="2E3335"/>
          <w:sz w:val="22"/>
        </w:rPr>
        <w:t xml:space="preserve"> offset by the decrease in the </w:t>
      </w:r>
      <w:r w:rsidRPr="00D77146">
        <w:rPr>
          <w:rFonts w:ascii="Segoe UI" w:hAnsi="Segoe UI" w:cs="Segoe UI"/>
          <w:b/>
          <w:bCs/>
          <w:color w:val="2E3335"/>
          <w:sz w:val="22"/>
        </w:rPr>
        <w:t>OPEX</w:t>
      </w:r>
      <w:r w:rsidRPr="00D77146">
        <w:rPr>
          <w:rFonts w:ascii="Segoe UI" w:hAnsi="Segoe UI" w:cs="Segoe UI"/>
          <w:bCs/>
          <w:color w:val="2E3335"/>
          <w:sz w:val="22"/>
        </w:rPr>
        <w:t xml:space="preserve"> margin mainly driven by the deterioration of the respective B2B/ B2G OPEX margin as a result of the increasing marketing expenses in Turkey related to our Online Sport Betting activity</w:t>
      </w:r>
    </w:p>
    <w:p w:rsidR="005A06B9" w:rsidRPr="00D77146"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D77146">
        <w:rPr>
          <w:rFonts w:ascii="Segoe UI" w:hAnsi="Segoe UI" w:cs="Segoe UI"/>
          <w:noProof/>
          <w:color w:val="2E3335"/>
          <w:sz w:val="22"/>
        </w:rPr>
        <w:drawing>
          <wp:anchor distT="0" distB="0" distL="114300" distR="114300" simplePos="0" relativeHeight="251673088" behindDoc="0" locked="0" layoutInCell="1" allowOverlap="1" wp14:anchorId="67BE0D8B" wp14:editId="011A7952">
            <wp:simplePos x="0" y="0"/>
            <wp:positionH relativeFrom="column">
              <wp:posOffset>193040</wp:posOffset>
            </wp:positionH>
            <wp:positionV relativeFrom="paragraph">
              <wp:posOffset>1056450</wp:posOffset>
            </wp:positionV>
            <wp:extent cx="6408000" cy="375108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8000" cy="3751085"/>
                    </a:xfrm>
                    <a:prstGeom prst="rect">
                      <a:avLst/>
                    </a:prstGeom>
                    <a:noFill/>
                  </pic:spPr>
                </pic:pic>
              </a:graphicData>
            </a:graphic>
          </wp:anchor>
        </w:drawing>
      </w:r>
      <w:proofErr w:type="gramStart"/>
      <w:r w:rsidRPr="00D77146">
        <w:rPr>
          <w:rFonts w:ascii="Segoe UI" w:hAnsi="Segoe UI" w:cs="Segoe UI"/>
          <w:bCs/>
          <w:color w:val="2E3335"/>
          <w:sz w:val="22"/>
        </w:rPr>
        <w:t>the</w:t>
      </w:r>
      <w:proofErr w:type="gramEnd"/>
      <w:r w:rsidRPr="00D77146">
        <w:rPr>
          <w:rFonts w:ascii="Segoe UI" w:hAnsi="Segoe UI" w:cs="Segoe UI"/>
          <w:bCs/>
          <w:color w:val="2E3335"/>
          <w:sz w:val="22"/>
        </w:rPr>
        <w:t xml:space="preserve"> decrease in the </w:t>
      </w:r>
      <w:r w:rsidRPr="00D77146">
        <w:rPr>
          <w:rFonts w:ascii="Segoe UI" w:hAnsi="Segoe UI" w:cs="Segoe UI"/>
          <w:b/>
          <w:bCs/>
          <w:color w:val="2E3335"/>
          <w:sz w:val="22"/>
        </w:rPr>
        <w:t>Other operating income</w:t>
      </w:r>
      <w:r w:rsidRPr="00D77146">
        <w:rPr>
          <w:rFonts w:ascii="Segoe UI" w:hAnsi="Segoe UI" w:cs="Segoe UI"/>
          <w:bCs/>
          <w:color w:val="2E3335"/>
          <w:sz w:val="22"/>
        </w:rPr>
        <w:t xml:space="preserve"> in 1Q18, which totaled €3.5m compared to €4.2m in 1Q17, mainly driven by less equipment lease income in Ohio and Idaho (following the recent contract renewals) coupled with the adverse USD movement against the Euro. The other operating income shortfall, in local currency, has been more than recouped from the increased revenue in both contracts.</w:t>
      </w:r>
    </w:p>
    <w:p w:rsidR="005A06B9" w:rsidRPr="00D77146" w:rsidRDefault="005A06B9" w:rsidP="005A06B9">
      <w:pPr>
        <w:pStyle w:val="Header"/>
        <w:widowControl/>
        <w:tabs>
          <w:tab w:val="clear" w:pos="4513"/>
          <w:tab w:val="clear" w:pos="9026"/>
        </w:tabs>
        <w:autoSpaceDE/>
        <w:autoSpaceDN/>
        <w:adjustRightInd/>
        <w:spacing w:after="120"/>
        <w:ind w:left="851"/>
        <w:jc w:val="both"/>
        <w:rPr>
          <w:rFonts w:ascii="Segoe UI" w:hAnsi="Segoe UI" w:cs="Segoe UI"/>
          <w:bCs/>
          <w:color w:val="2E3335"/>
          <w:sz w:val="22"/>
        </w:rPr>
      </w:pP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color w:val="2E3335"/>
          <w:sz w:val="22"/>
        </w:rPr>
        <w:t xml:space="preserve">On a yearly basis, </w:t>
      </w:r>
      <w:r w:rsidRPr="00D77146">
        <w:rPr>
          <w:rFonts w:ascii="Segoe UI" w:hAnsi="Segoe UI" w:cs="Segoe UI"/>
          <w:b/>
          <w:color w:val="2E3335"/>
          <w:sz w:val="22"/>
        </w:rPr>
        <w:t>EBITDA margin</w:t>
      </w:r>
      <w:r w:rsidRPr="00D77146">
        <w:rPr>
          <w:rFonts w:ascii="Segoe UI" w:hAnsi="Segoe UI" w:cs="Segoe UI"/>
          <w:color w:val="2E3335"/>
          <w:sz w:val="22"/>
        </w:rPr>
        <w:t xml:space="preserve"> on sales, has been impacted negatively by worsening margins (on sales) across both contract segments, i.e. B2B/ B2G and B2C, decreasing to 15.2% compared to 15.5% in 1Q17.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LTM EBITDA</w:t>
      </w:r>
      <w:r w:rsidRPr="00D77146">
        <w:rPr>
          <w:rFonts w:ascii="Segoe UI" w:hAnsi="Segoe UI" w:cs="Segoe UI"/>
          <w:color w:val="2E3335"/>
          <w:sz w:val="22"/>
        </w:rPr>
        <w:t xml:space="preserve"> developed to €172.3m posting a slight increase vs. FY17.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Constant currency basis</w:t>
      </w:r>
      <w:r w:rsidRPr="00D77146">
        <w:rPr>
          <w:rFonts w:ascii="Segoe UI" w:hAnsi="Segoe UI" w:cs="Segoe UI"/>
          <w:color w:val="2E3335"/>
          <w:sz w:val="22"/>
        </w:rPr>
        <w:t>: In 1Q18, EBITDA, net of the negative FX impact of €5.8m, reached €48.4m (+15.6% y-o-y).</w:t>
      </w:r>
    </w:p>
    <w:p w:rsidR="005A06B9" w:rsidRPr="00D77146" w:rsidRDefault="005A06B9" w:rsidP="005A06B9">
      <w:pPr>
        <w:pStyle w:val="Header"/>
        <w:spacing w:after="120"/>
        <w:jc w:val="both"/>
        <w:rPr>
          <w:rFonts w:ascii="Segoe UI" w:hAnsi="Segoe UI" w:cs="Segoe UI"/>
          <w:color w:val="2E3335"/>
          <w:sz w:val="22"/>
        </w:rPr>
      </w:pP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EBT / NIATMI</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bCs/>
          <w:color w:val="2E3335"/>
          <w:sz w:val="22"/>
        </w:rPr>
        <w:t xml:space="preserve">EBT </w:t>
      </w:r>
      <w:r w:rsidRPr="00D77146">
        <w:rPr>
          <w:rFonts w:ascii="Segoe UI" w:hAnsi="Segoe UI" w:cs="Segoe UI"/>
          <w:color w:val="2E3335"/>
          <w:sz w:val="22"/>
        </w:rPr>
        <w:t>in 1Q18 totaled €13.2m compared to €13.9m in 1Q17. The positive EBITDA change y-o-y described above (€+0.8m) coupled with the lower D&amp;A for the period (favorable impact: €+1.0m vs. 1Q17), the higher income from participations/investments (€+0.5m), and the better results derived from the equity method consolidation of associates (€+0.4m vs. 1Q17) was fully counterbalanced by the significantly worse FX effect of outstanding balances transaction (impact: €-3.5m vs. 1Q17).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Constant currency basis</w:t>
      </w:r>
      <w:r w:rsidRPr="00D77146">
        <w:rPr>
          <w:rFonts w:ascii="Segoe UI" w:hAnsi="Segoe UI" w:cs="Segoe UI"/>
          <w:color w:val="2E3335"/>
          <w:sz w:val="22"/>
        </w:rPr>
        <w:t xml:space="preserve">: In 1Q18 </w:t>
      </w:r>
      <w:r w:rsidRPr="00D77146">
        <w:rPr>
          <w:rFonts w:ascii="Segoe UI" w:hAnsi="Segoe UI" w:cs="Segoe UI"/>
          <w:b/>
          <w:color w:val="2E3335"/>
          <w:sz w:val="22"/>
        </w:rPr>
        <w:t>EBΤ</w:t>
      </w:r>
      <w:r w:rsidRPr="00D77146">
        <w:rPr>
          <w:rFonts w:ascii="Segoe UI" w:hAnsi="Segoe UI" w:cs="Segoe UI"/>
          <w:color w:val="2E3335"/>
          <w:sz w:val="22"/>
        </w:rPr>
        <w:t>, adjusted for the FX impact, reached €20.8m from €13.1m in 1Q17.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NIATMI from continuing operations</w:t>
      </w:r>
      <w:r w:rsidRPr="00D77146">
        <w:rPr>
          <w:rFonts w:ascii="Segoe UI" w:hAnsi="Segoe UI" w:cs="Segoe UI"/>
          <w:color w:val="2E3335"/>
          <w:sz w:val="22"/>
        </w:rPr>
        <w:t xml:space="preserve"> in 1Q18 concluded at €-6.0m compared to €-6.1m in 1Q17, while </w:t>
      </w:r>
      <w:r w:rsidRPr="00D77146">
        <w:rPr>
          <w:rFonts w:ascii="Segoe UI" w:hAnsi="Segoe UI" w:cs="Segoe UI"/>
          <w:b/>
          <w:color w:val="2E3335"/>
          <w:sz w:val="22"/>
        </w:rPr>
        <w:t>NIATMI from total operations</w:t>
      </w:r>
      <w:r w:rsidRPr="00D77146">
        <w:rPr>
          <w:rFonts w:ascii="Segoe UI" w:hAnsi="Segoe UI" w:cs="Segoe UI"/>
          <w:color w:val="2E3335"/>
          <w:sz w:val="22"/>
        </w:rPr>
        <w:t xml:space="preserve"> in 1Q17 was further benefited by the PAT contribution of the prior period’s discontinued operations (€+0.7m) and concluded at €-5.4m, while in 1Q18 there were no discontinued entities.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Constant currency basis</w:t>
      </w:r>
      <w:r w:rsidRPr="00D77146">
        <w:rPr>
          <w:rFonts w:ascii="Segoe UI" w:hAnsi="Segoe UI" w:cs="Segoe UI"/>
          <w:color w:val="2E3335"/>
          <w:sz w:val="22"/>
        </w:rPr>
        <w:t xml:space="preserve">: </w:t>
      </w:r>
      <w:r w:rsidRPr="00D77146">
        <w:rPr>
          <w:rFonts w:ascii="Segoe UI" w:hAnsi="Segoe UI" w:cs="Segoe UI"/>
          <w:b/>
          <w:color w:val="2E3335"/>
          <w:sz w:val="22"/>
        </w:rPr>
        <w:t>NIATMI (total operations)</w:t>
      </w:r>
      <w:r w:rsidRPr="00D77146">
        <w:rPr>
          <w:rFonts w:ascii="Segoe UI" w:hAnsi="Segoe UI" w:cs="Segoe UI"/>
          <w:color w:val="2E3335"/>
          <w:sz w:val="22"/>
        </w:rPr>
        <w:t xml:space="preserve"> in 1Q18, on a constant currency basis, reached €-0.9m from €-6.0m in 1Q17.</w:t>
      </w: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 xml:space="preserve">CASH-FLOW </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bCs/>
          <w:color w:val="2E3335"/>
          <w:sz w:val="22"/>
        </w:rPr>
        <w:t xml:space="preserve">Operating </w:t>
      </w:r>
      <w:r w:rsidRPr="00D77146">
        <w:rPr>
          <w:rFonts w:ascii="Segoe UI" w:hAnsi="Segoe UI" w:cs="Segoe UI"/>
          <w:b/>
          <w:color w:val="2E3335"/>
          <w:sz w:val="22"/>
        </w:rPr>
        <w:t>Cash-flow</w:t>
      </w:r>
      <w:r w:rsidRPr="00D77146">
        <w:rPr>
          <w:rFonts w:ascii="Segoe UI" w:hAnsi="Segoe UI" w:cs="Segoe UI"/>
          <w:color w:val="2E3335"/>
          <w:sz w:val="22"/>
        </w:rPr>
        <w:t xml:space="preserve"> posted a decrease in 1Q18 at €35.9m vs. €39.2m in 1Q17. Excluding the operating cash-flow contribution of our discontinued operations (Jamaica, Russia, and Slovakia) in 1Q17 (€+4.5m), the cash-flow from operating activities improved by €1.2m (€35.9m vs. €34.7) driven by the better EBITDA performance and the less taxes. </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
          <w:bCs/>
          <w:color w:val="2E3335"/>
          <w:sz w:val="22"/>
        </w:rPr>
        <w:t>Adjusted Free Cash Flow</w:t>
      </w:r>
      <w:r w:rsidRPr="00D77146">
        <w:rPr>
          <w:rStyle w:val="FootnoteReference"/>
          <w:rFonts w:ascii="Segoe UI" w:hAnsi="Segoe UI" w:cs="Segoe UI"/>
          <w:color w:val="2E3335"/>
          <w:sz w:val="22"/>
        </w:rPr>
        <w:footnoteReference w:id="4"/>
      </w:r>
      <w:r w:rsidRPr="00D77146">
        <w:rPr>
          <w:rFonts w:ascii="Segoe UI" w:hAnsi="Segoe UI" w:cs="Segoe UI"/>
          <w:bCs/>
          <w:color w:val="2E3335"/>
          <w:sz w:val="22"/>
        </w:rPr>
        <w:t xml:space="preserve"> in 1Q18 developed to €-5.9m compared to €10.2m a year ago. The decrease is mainly the result of the timing variance of the bond coupons payment schedule (following the refinancing that took place in 3Q17 resulting in coupon payments across Q1 and Q3 vs. a coupon payment every Quarter previously), the front-loaded dividend payments to </w:t>
      </w:r>
      <w:proofErr w:type="spellStart"/>
      <w:r w:rsidRPr="00D77146">
        <w:rPr>
          <w:rFonts w:ascii="Segoe UI" w:hAnsi="Segoe UI" w:cs="Segoe UI"/>
          <w:bCs/>
          <w:color w:val="2E3335"/>
          <w:sz w:val="22"/>
        </w:rPr>
        <w:t>Inteltek’s</w:t>
      </w:r>
      <w:proofErr w:type="spellEnd"/>
      <w:r w:rsidRPr="00D77146">
        <w:rPr>
          <w:rFonts w:ascii="Segoe UI" w:hAnsi="Segoe UI" w:cs="Segoe UI"/>
          <w:bCs/>
          <w:color w:val="2E3335"/>
          <w:sz w:val="22"/>
        </w:rPr>
        <w:t xml:space="preserve"> shareholders in 1Q18 (compared to last year), and the higher dividends distributed to </w:t>
      </w:r>
      <w:proofErr w:type="spellStart"/>
      <w:r w:rsidRPr="00D77146">
        <w:rPr>
          <w:rFonts w:ascii="Segoe UI" w:hAnsi="Segoe UI" w:cs="Segoe UI"/>
          <w:bCs/>
          <w:color w:val="2E3335"/>
          <w:sz w:val="22"/>
        </w:rPr>
        <w:t>Bilyoner’s</w:t>
      </w:r>
      <w:proofErr w:type="spellEnd"/>
      <w:r w:rsidRPr="00D77146">
        <w:rPr>
          <w:rFonts w:ascii="Segoe UI" w:hAnsi="Segoe UI" w:cs="Segoe UI"/>
          <w:bCs/>
          <w:color w:val="2E3335"/>
          <w:sz w:val="22"/>
        </w:rPr>
        <w:t xml:space="preserve"> shareholders vs. a year ago.</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Net Capex</w:t>
      </w:r>
      <w:r w:rsidRPr="00D77146">
        <w:rPr>
          <w:rFonts w:ascii="Segoe UI" w:hAnsi="Segoe UI" w:cs="Segoe UI"/>
          <w:color w:val="2E3335"/>
          <w:sz w:val="22"/>
        </w:rPr>
        <w:t xml:space="preserve"> in 1Q18 was €14.2m compared to €24.6m in 1Q17 significantly lower given the €11.7m spent in the prior period towards the strategic partnership with AMELCO. Headline Capex items in 1Q18 include €5.1m towards R&amp;D, €4.1m in the US mainly towards the Illinois new contract, Ohio contract renewal, and New Hampshire’s “Keno” service launch. All other net additions amount to €5.0m for 1Q18. Maintenance CAPEX for 1Q18 stood at €5.9m, or 40.0% of the overall capital expenditure in 1Q18 (€14.8m), compared to €4.7m in 1Q17 (excluding discontinued operations in Jamaica, Slovakia &amp; Russia).</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Cash and cash equivalents</w:t>
      </w:r>
      <w:r w:rsidRPr="00D77146">
        <w:rPr>
          <w:rFonts w:ascii="Segoe UI" w:hAnsi="Segoe UI" w:cs="Segoe UI"/>
          <w:color w:val="2E3335"/>
          <w:sz w:val="22"/>
        </w:rPr>
        <w:t xml:space="preserve"> at the end of the 1Q18 period decreased by €14.7m vs. December 31</w:t>
      </w:r>
      <w:r w:rsidRPr="00D77146">
        <w:rPr>
          <w:rFonts w:ascii="Segoe UI" w:hAnsi="Segoe UI" w:cs="Segoe UI"/>
          <w:color w:val="2E3335"/>
          <w:sz w:val="22"/>
          <w:vertAlign w:val="superscript"/>
        </w:rPr>
        <w:t>st</w:t>
      </w:r>
      <w:r w:rsidRPr="00D77146">
        <w:rPr>
          <w:rFonts w:ascii="Segoe UI" w:hAnsi="Segoe UI" w:cs="Segoe UI"/>
          <w:color w:val="2E3335"/>
          <w:sz w:val="22"/>
        </w:rPr>
        <w:t xml:space="preserve"> 2017; Main contributors to this movement are the €-6.8m investment towards an indirect stake in “Hellenic Casino </w:t>
      </w:r>
      <w:proofErr w:type="spellStart"/>
      <w:r w:rsidRPr="00D77146">
        <w:rPr>
          <w:rFonts w:ascii="Segoe UI" w:hAnsi="Segoe UI" w:cs="Segoe UI"/>
          <w:color w:val="2E3335"/>
          <w:sz w:val="22"/>
        </w:rPr>
        <w:t>Parnitha</w:t>
      </w:r>
      <w:proofErr w:type="spellEnd"/>
      <w:r w:rsidRPr="00D77146">
        <w:rPr>
          <w:rFonts w:ascii="Segoe UI" w:hAnsi="Segoe UI" w:cs="Segoe UI"/>
          <w:color w:val="2E3335"/>
          <w:sz w:val="22"/>
        </w:rPr>
        <w:t xml:space="preserve"> S.A.” (7.65%), the dividend distribution to minorities (€-15.5m), the bond coupons payment of €-21.2m, which were partially offset by a loan uptake of €+15.0m, and the cash generated in the normal course of business.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noProof/>
          <w:color w:val="2E3335"/>
          <w:sz w:val="22"/>
        </w:rPr>
        <w:drawing>
          <wp:anchor distT="0" distB="0" distL="114300" distR="114300" simplePos="0" relativeHeight="251671040" behindDoc="0" locked="0" layoutInCell="1" allowOverlap="1" wp14:anchorId="6FAD00E0" wp14:editId="5B077328">
            <wp:simplePos x="0" y="0"/>
            <wp:positionH relativeFrom="column">
              <wp:posOffset>112395</wp:posOffset>
            </wp:positionH>
            <wp:positionV relativeFrom="paragraph">
              <wp:posOffset>557587</wp:posOffset>
            </wp:positionV>
            <wp:extent cx="6407785" cy="28676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7785" cy="2867660"/>
                    </a:xfrm>
                    <a:prstGeom prst="rect">
                      <a:avLst/>
                    </a:prstGeom>
                    <a:noFill/>
                  </pic:spPr>
                </pic:pic>
              </a:graphicData>
            </a:graphic>
          </wp:anchor>
        </w:drawing>
      </w:r>
      <w:r w:rsidRPr="00D77146">
        <w:rPr>
          <w:rFonts w:ascii="Segoe UI" w:hAnsi="Segoe UI" w:cs="Segoe UI"/>
          <w:b/>
          <w:color w:val="2E3335"/>
          <w:sz w:val="22"/>
        </w:rPr>
        <w:t>Net Debt</w:t>
      </w:r>
      <w:r w:rsidRPr="00D77146">
        <w:rPr>
          <w:rFonts w:ascii="Segoe UI" w:hAnsi="Segoe UI" w:cs="Segoe UI"/>
          <w:color w:val="2E3335"/>
          <w:sz w:val="22"/>
        </w:rPr>
        <w:t>, as of March 31</w:t>
      </w:r>
      <w:r w:rsidRPr="00D77146">
        <w:rPr>
          <w:rFonts w:ascii="Segoe UI" w:hAnsi="Segoe UI" w:cs="Segoe UI"/>
          <w:color w:val="2E3335"/>
          <w:sz w:val="22"/>
          <w:vertAlign w:val="superscript"/>
        </w:rPr>
        <w:t>st</w:t>
      </w:r>
      <w:r w:rsidRPr="00D77146">
        <w:rPr>
          <w:rFonts w:ascii="Segoe UI" w:hAnsi="Segoe UI" w:cs="Segoe UI"/>
          <w:color w:val="2E3335"/>
          <w:sz w:val="22"/>
        </w:rPr>
        <w:t>, 2018, stood at €528.3m,</w:t>
      </w:r>
      <w:r w:rsidRPr="00D77146" w:rsidDel="00802048">
        <w:rPr>
          <w:rFonts w:ascii="Segoe UI" w:hAnsi="Segoe UI" w:cs="Segoe UI"/>
          <w:color w:val="2E3335"/>
          <w:sz w:val="22"/>
        </w:rPr>
        <w:t xml:space="preserve"> </w:t>
      </w:r>
      <w:r w:rsidRPr="00D77146">
        <w:rPr>
          <w:rFonts w:ascii="Segoe UI" w:hAnsi="Segoe UI" w:cs="Segoe UI"/>
          <w:color w:val="2E3335"/>
          <w:sz w:val="22"/>
        </w:rPr>
        <w:t>up €17.6m</w:t>
      </w:r>
      <w:r w:rsidRPr="00D77146" w:rsidDel="00802048">
        <w:rPr>
          <w:rFonts w:ascii="Segoe UI" w:hAnsi="Segoe UI" w:cs="Segoe UI"/>
          <w:color w:val="2E3335"/>
          <w:sz w:val="22"/>
        </w:rPr>
        <w:t xml:space="preserve"> </w:t>
      </w:r>
      <w:r w:rsidRPr="00D77146">
        <w:rPr>
          <w:rFonts w:ascii="Segoe UI" w:hAnsi="Segoe UI" w:cs="Segoe UI"/>
          <w:color w:val="2E3335"/>
          <w:sz w:val="22"/>
        </w:rPr>
        <w:t>compared to December 31</w:t>
      </w:r>
      <w:r w:rsidRPr="00D77146">
        <w:rPr>
          <w:rFonts w:ascii="Segoe UI" w:hAnsi="Segoe UI" w:cs="Segoe UI"/>
          <w:color w:val="2E3335"/>
          <w:sz w:val="22"/>
          <w:vertAlign w:val="superscript"/>
        </w:rPr>
        <w:t>st</w:t>
      </w:r>
      <w:r w:rsidRPr="00D77146">
        <w:rPr>
          <w:rFonts w:ascii="Segoe UI" w:hAnsi="Segoe UI" w:cs="Segoe UI"/>
          <w:color w:val="2E3335"/>
          <w:sz w:val="22"/>
        </w:rPr>
        <w:t xml:space="preserve"> 2017 as a result of our investment towards the indirect stake in “Hellenic Casino </w:t>
      </w:r>
      <w:proofErr w:type="spellStart"/>
      <w:r w:rsidRPr="00D77146">
        <w:rPr>
          <w:rFonts w:ascii="Segoe UI" w:hAnsi="Segoe UI" w:cs="Segoe UI"/>
          <w:color w:val="2E3335"/>
          <w:sz w:val="22"/>
        </w:rPr>
        <w:t>Parnitha</w:t>
      </w:r>
      <w:proofErr w:type="spellEnd"/>
      <w:r w:rsidRPr="00D77146">
        <w:rPr>
          <w:rFonts w:ascii="Segoe UI" w:hAnsi="Segoe UI" w:cs="Segoe UI"/>
          <w:color w:val="2E3335"/>
          <w:sz w:val="22"/>
        </w:rPr>
        <w:t xml:space="preserve"> S.A.” </w:t>
      </w:r>
      <w:r w:rsidRPr="00D77146">
        <w:rPr>
          <w:rFonts w:ascii="Segoe UI" w:hAnsi="Segoe UI" w:cs="Segoe UI"/>
          <w:color w:val="2E3335"/>
          <w:sz w:val="22"/>
        </w:rPr>
        <w:br/>
      </w:r>
      <w:r w:rsidRPr="00D77146">
        <w:rPr>
          <w:rFonts w:ascii="Segoe UI" w:hAnsi="Segoe UI" w:cs="Segoe UI"/>
          <w:color w:val="2E3335"/>
          <w:sz w:val="22"/>
        </w:rPr>
        <w:br/>
        <w:t>(€-6.8m), Bond IFRS treatment (€-11.8m timing variance, to be normalized within the year; FY impact at €4.2m) and the cash generated in the normal course of business.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D77146">
        <w:rPr>
          <w:rFonts w:ascii="Segoe UI" w:hAnsi="Segoe UI" w:cs="Segoe UI"/>
          <w:bCs/>
          <w:color w:val="2E3335"/>
          <w:sz w:val="22"/>
        </w:rPr>
        <w:t>As of March 31st, 2018, the Company didn’t hold any of its bonds. We have in the past engaged in repurchases of our debt and may do so again in the future subject to market conditions.</w:t>
      </w:r>
    </w:p>
    <w:p w:rsidR="005A06B9" w:rsidRPr="004F1FE5" w:rsidRDefault="005A06B9" w:rsidP="005A06B9">
      <w:pPr>
        <w:pStyle w:val="ListParagraph"/>
        <w:ind w:left="-567" w:right="-759"/>
        <w:rPr>
          <w:rFonts w:ascii="Segoe UI" w:hAnsi="Segoe UI" w:cs="Segoe UI"/>
          <w:sz w:val="22"/>
          <w:szCs w:val="22"/>
          <w:lang w:val="en-US"/>
        </w:rPr>
      </w:pPr>
    </w:p>
    <w:p w:rsidR="005A06B9" w:rsidRPr="004F1FE5" w:rsidRDefault="005A06B9" w:rsidP="005A06B9">
      <w:pPr>
        <w:rPr>
          <w:rFonts w:ascii="Segoe UI" w:hAnsi="Segoe UI" w:cs="Segoe UI"/>
          <w:b/>
          <w:color w:val="FF5000"/>
          <w:sz w:val="22"/>
        </w:rPr>
      </w:pPr>
    </w:p>
    <w:p w:rsidR="005A06B9" w:rsidRPr="004F1FE5" w:rsidRDefault="005A06B9" w:rsidP="005A06B9">
      <w:pPr>
        <w:rPr>
          <w:rFonts w:ascii="Segoe UI" w:hAnsi="Segoe UI" w:cs="Segoe UI"/>
          <w:b/>
          <w:color w:val="FF5000"/>
          <w:sz w:val="22"/>
        </w:rPr>
      </w:pPr>
      <w:r w:rsidRPr="004F1FE5">
        <w:rPr>
          <w:rFonts w:ascii="Segoe UI" w:hAnsi="Segoe UI" w:cs="Segoe UI"/>
          <w:noProof/>
          <w:sz w:val="22"/>
        </w:rPr>
        <w:drawing>
          <wp:anchor distT="0" distB="0" distL="114300" distR="114300" simplePos="0" relativeHeight="251668992" behindDoc="0" locked="0" layoutInCell="1" allowOverlap="1" wp14:anchorId="47D9AC8F" wp14:editId="04BDBA6D">
            <wp:simplePos x="0" y="0"/>
            <wp:positionH relativeFrom="column">
              <wp:posOffset>46355</wp:posOffset>
            </wp:positionH>
            <wp:positionV relativeFrom="page">
              <wp:posOffset>15490190</wp:posOffset>
            </wp:positionV>
            <wp:extent cx="6407785" cy="2856865"/>
            <wp:effectExtent l="0" t="0" r="0" b="63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7785" cy="2856865"/>
                    </a:xfrm>
                    <a:prstGeom prst="rect">
                      <a:avLst/>
                    </a:prstGeom>
                    <a:noFill/>
                  </pic:spPr>
                </pic:pic>
              </a:graphicData>
            </a:graphic>
            <wp14:sizeRelH relativeFrom="margin">
              <wp14:pctWidth>0</wp14:pctWidth>
            </wp14:sizeRelH>
            <wp14:sizeRelV relativeFrom="margin">
              <wp14:pctHeight>0</wp14:pctHeight>
            </wp14:sizeRelV>
          </wp:anchor>
        </w:drawing>
      </w:r>
    </w:p>
    <w:p w:rsidR="005A06B9" w:rsidRPr="004F1FE5" w:rsidRDefault="005A06B9" w:rsidP="005A06B9">
      <w:pPr>
        <w:rPr>
          <w:rFonts w:ascii="Segoe UI" w:hAnsi="Segoe UI" w:cs="Segoe UI"/>
          <w:b/>
          <w:color w:val="FF5000"/>
          <w:sz w:val="22"/>
        </w:rPr>
      </w:pPr>
    </w:p>
    <w:p w:rsidR="005A06B9" w:rsidRPr="004F1FE5" w:rsidRDefault="005A06B9" w:rsidP="005A06B9">
      <w:pPr>
        <w:rPr>
          <w:rFonts w:ascii="Segoe UI" w:hAnsi="Segoe UI" w:cs="Segoe UI"/>
          <w:b/>
          <w:color w:val="FF5000"/>
          <w:sz w:val="22"/>
        </w:rPr>
      </w:pPr>
    </w:p>
    <w:p w:rsidR="005A06B9" w:rsidRPr="004F1FE5" w:rsidRDefault="005A06B9" w:rsidP="005A06B9">
      <w:pPr>
        <w:rPr>
          <w:rFonts w:ascii="Segoe UI" w:hAnsi="Segoe UI" w:cs="Segoe UI"/>
          <w:b/>
          <w:color w:val="FF5000"/>
          <w:sz w:val="22"/>
        </w:rPr>
      </w:pPr>
    </w:p>
    <w:p w:rsidR="005A06B9" w:rsidRPr="004F1FE5" w:rsidRDefault="005A06B9" w:rsidP="005A06B9">
      <w:pPr>
        <w:rPr>
          <w:rFonts w:ascii="Segoe UI" w:hAnsi="Segoe UI" w:cs="Segoe UI"/>
          <w:b/>
          <w:color w:val="FF5000"/>
          <w:sz w:val="22"/>
        </w:rPr>
      </w:pPr>
      <w:r w:rsidRPr="004F1FE5">
        <w:rPr>
          <w:rFonts w:ascii="Segoe UI" w:hAnsi="Segoe UI" w:cs="Segoe UI"/>
          <w:b/>
          <w:color w:val="FF5000"/>
          <w:sz w:val="22"/>
        </w:rPr>
        <w:br w:type="page"/>
      </w:r>
    </w:p>
    <w:p w:rsidR="005A06B9" w:rsidRPr="004F1FE5" w:rsidRDefault="005A06B9" w:rsidP="005A06B9">
      <w:pPr>
        <w:pStyle w:val="Header"/>
        <w:spacing w:after="240"/>
        <w:ind w:right="-760"/>
        <w:jc w:val="both"/>
        <w:rPr>
          <w:rFonts w:ascii="Segoe UI" w:hAnsi="Segoe UI" w:cs="Segoe UI"/>
          <w:b/>
          <w:color w:val="FF5000"/>
          <w:sz w:val="24"/>
        </w:rPr>
      </w:pPr>
      <w:r w:rsidRPr="004F1FE5">
        <w:rPr>
          <w:rFonts w:ascii="Segoe UI" w:hAnsi="Segoe UI" w:cs="Segoe UI"/>
          <w:b/>
          <w:color w:val="FF5000"/>
          <w:sz w:val="24"/>
        </w:rPr>
        <w:t>RECENT/ SIGNIFICANT COMPANY DEVELOPMENTS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D77146">
        <w:rPr>
          <w:rFonts w:ascii="Segoe UI" w:hAnsi="Segoe UI" w:cs="Segoe UI"/>
          <w:color w:val="2E3335"/>
          <w:sz w:val="22"/>
        </w:rPr>
        <w:t>On January 17</w:t>
      </w:r>
      <w:r w:rsidRPr="00D77146">
        <w:rPr>
          <w:rFonts w:ascii="Segoe UI" w:hAnsi="Segoe UI" w:cs="Segoe UI"/>
          <w:color w:val="2E3335"/>
          <w:sz w:val="22"/>
          <w:vertAlign w:val="superscript"/>
        </w:rPr>
        <w:t>th</w:t>
      </w:r>
      <w:r w:rsidRPr="00D77146">
        <w:rPr>
          <w:rFonts w:ascii="Segoe UI" w:hAnsi="Segoe UI" w:cs="Segoe UI"/>
          <w:color w:val="2E3335"/>
          <w:sz w:val="22"/>
        </w:rPr>
        <w:t xml:space="preserve">, 2018, INTRALOT Group announced the completion of the acquisition of the 50% of the Cypriot company “KARENIA ENTERPRISES COMPANY LIMITED”, through its subsidiary INTRALOT Global Holdings BV. KARENIA ENTERPRISES holds a 30% stake in “ATHENS RESORT CASINO S.A.” which holds 51% of the Hellenic Casino </w:t>
      </w:r>
      <w:proofErr w:type="spellStart"/>
      <w:r w:rsidRPr="00D77146">
        <w:rPr>
          <w:rFonts w:ascii="Segoe UI" w:hAnsi="Segoe UI" w:cs="Segoe UI"/>
          <w:color w:val="2E3335"/>
          <w:sz w:val="22"/>
        </w:rPr>
        <w:t>Parnitha</w:t>
      </w:r>
      <w:proofErr w:type="spellEnd"/>
      <w:r w:rsidRPr="00D77146">
        <w:rPr>
          <w:rFonts w:ascii="Segoe UI" w:hAnsi="Segoe UI" w:cs="Segoe UI"/>
          <w:color w:val="2E3335"/>
          <w:sz w:val="22"/>
        </w:rPr>
        <w:t xml:space="preserve"> S.A.</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D77146">
        <w:rPr>
          <w:rFonts w:ascii="Segoe UI" w:hAnsi="Segoe UI" w:cs="Segoe UI"/>
          <w:color w:val="2E3335"/>
          <w:sz w:val="22"/>
        </w:rPr>
        <w:t>On February 1</w:t>
      </w:r>
      <w:r w:rsidRPr="00D77146">
        <w:rPr>
          <w:rFonts w:ascii="Segoe UI" w:hAnsi="Segoe UI" w:cs="Segoe UI"/>
          <w:color w:val="2E3335"/>
          <w:sz w:val="22"/>
          <w:vertAlign w:val="superscript"/>
        </w:rPr>
        <w:t>st</w:t>
      </w:r>
      <w:r w:rsidRPr="00D77146">
        <w:rPr>
          <w:rFonts w:ascii="Segoe UI" w:hAnsi="Segoe UI" w:cs="Segoe UI"/>
          <w:color w:val="2E3335"/>
          <w:sz w:val="22"/>
        </w:rPr>
        <w:t>, 2018, INTRALOT Group announced the signing of a new contract for INTRALOT Inc., a subsidiary of the INTRALOT Group in the United States, with CAMELOT Illinois LLC for the Illinois State Lottery through October 2027. INTRALOT will install technology solutions in approximately 7,500 retail locations. INTRALOT services are planned to transition in December 2018.</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D77146">
        <w:rPr>
          <w:rFonts w:ascii="Segoe UI" w:hAnsi="Segoe UI" w:cs="Segoe UI"/>
          <w:color w:val="2E3335"/>
          <w:sz w:val="22"/>
        </w:rPr>
        <w:t>On February 14</w:t>
      </w:r>
      <w:r w:rsidRPr="00D77146">
        <w:rPr>
          <w:rFonts w:ascii="Segoe UI" w:hAnsi="Segoe UI" w:cs="Segoe UI"/>
          <w:color w:val="2E3335"/>
          <w:sz w:val="22"/>
          <w:vertAlign w:val="superscript"/>
        </w:rPr>
        <w:t>th</w:t>
      </w:r>
      <w:r w:rsidRPr="00D77146">
        <w:rPr>
          <w:rFonts w:ascii="Segoe UI" w:hAnsi="Segoe UI" w:cs="Segoe UI"/>
          <w:color w:val="2E3335"/>
          <w:sz w:val="22"/>
        </w:rPr>
        <w:t>, 2018, INTRALOT Group announced the renewal of the current contract of INTRALOT Inc., a subsidiary of the INTRALOT Group in the United States, with the Wyoming Lottery for the five-year period from August 25, 2019, to August 25, 2024. This is the first of three five-year extension options in line with the initial contract terms.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D77146">
        <w:rPr>
          <w:rFonts w:ascii="Segoe UI" w:hAnsi="Segoe UI" w:cs="Segoe UI"/>
          <w:color w:val="2E3335"/>
          <w:sz w:val="22"/>
        </w:rPr>
        <w:t>In mid-March 2018, INTRALOT Group proudly announced that it is one of the first companies in the gaming industry globally to be certified under the ISO 37001 standard for anti-bribery management systems. ISO 37001, Anti-bribery management systems, specifies a series of measures to help organizations prevent, detect and address bribery. These include adopting an anti-bribery policy, appointing a person to oversee anti-bribery compliance, training, risk assessments and due diligence on projects and business associates, implementing financial and commercial controls, and instituting reporting and investigation procedures.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D77146">
        <w:rPr>
          <w:rFonts w:ascii="Segoe UI" w:hAnsi="Segoe UI" w:cs="Segoe UI"/>
          <w:color w:val="2E3335"/>
          <w:sz w:val="22"/>
        </w:rPr>
        <w:t>On April 25</w:t>
      </w:r>
      <w:r w:rsidRPr="00D77146">
        <w:rPr>
          <w:rFonts w:ascii="Segoe UI" w:hAnsi="Segoe UI" w:cs="Segoe UI"/>
          <w:color w:val="2E3335"/>
          <w:sz w:val="22"/>
          <w:vertAlign w:val="superscript"/>
        </w:rPr>
        <w:t>th</w:t>
      </w:r>
      <w:r w:rsidRPr="00D77146">
        <w:rPr>
          <w:rFonts w:ascii="Segoe UI" w:hAnsi="Segoe UI" w:cs="Segoe UI"/>
          <w:color w:val="2E3335"/>
          <w:sz w:val="22"/>
        </w:rPr>
        <w:t xml:space="preserve">, 2018, INTRALOT announced the appointment of Mr. Michael </w:t>
      </w:r>
      <w:proofErr w:type="spellStart"/>
      <w:r w:rsidRPr="00D77146">
        <w:rPr>
          <w:rFonts w:ascii="Segoe UI" w:hAnsi="Segoe UI" w:cs="Segoe UI"/>
          <w:color w:val="2E3335"/>
          <w:sz w:val="22"/>
        </w:rPr>
        <w:t>Kogeler</w:t>
      </w:r>
      <w:proofErr w:type="spellEnd"/>
      <w:r w:rsidRPr="00D77146">
        <w:rPr>
          <w:rFonts w:ascii="Segoe UI" w:hAnsi="Segoe UI" w:cs="Segoe UI"/>
          <w:color w:val="2E3335"/>
          <w:sz w:val="22"/>
        </w:rPr>
        <w:t>, as Group Chief Operating Officer, effective May 2</w:t>
      </w:r>
      <w:r w:rsidRPr="00D77146">
        <w:rPr>
          <w:rFonts w:ascii="Segoe UI" w:hAnsi="Segoe UI" w:cs="Segoe UI"/>
          <w:color w:val="2E3335"/>
          <w:sz w:val="22"/>
          <w:vertAlign w:val="superscript"/>
        </w:rPr>
        <w:t>nd</w:t>
      </w:r>
      <w:r w:rsidRPr="00D77146">
        <w:rPr>
          <w:rFonts w:ascii="Segoe UI" w:hAnsi="Segoe UI" w:cs="Segoe UI"/>
          <w:color w:val="2E3335"/>
          <w:sz w:val="22"/>
        </w:rPr>
        <w:t xml:space="preserve">, 2018, following an extensive international search process. Mr. </w:t>
      </w:r>
      <w:proofErr w:type="spellStart"/>
      <w:r w:rsidRPr="00D77146">
        <w:rPr>
          <w:rFonts w:ascii="Segoe UI" w:hAnsi="Segoe UI" w:cs="Segoe UI"/>
          <w:color w:val="2E3335"/>
          <w:sz w:val="22"/>
        </w:rPr>
        <w:t>Kogeler</w:t>
      </w:r>
      <w:proofErr w:type="spellEnd"/>
      <w:r w:rsidRPr="00D77146">
        <w:rPr>
          <w:rFonts w:ascii="Segoe UI" w:hAnsi="Segoe UI" w:cs="Segoe UI"/>
          <w:color w:val="2E3335"/>
          <w:sz w:val="22"/>
        </w:rPr>
        <w:t xml:space="preserve"> will be responsible for the Group’s business orchestration of its operations around the world, the relationships with partners and customers as well as the trading operations.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D77146">
        <w:rPr>
          <w:rFonts w:ascii="Segoe UI" w:hAnsi="Segoe UI" w:cs="Segoe UI"/>
          <w:color w:val="2E3335"/>
          <w:sz w:val="22"/>
        </w:rPr>
        <w:t>In early May 2018, INTRALOT Group announced that via its fully owned subsidiary, INTRALOT GLOBAL HOLDINGS BV, proceeded with the repurchase of Notes amounting to €5.0 million (€500M, 5.25% Senior Notes due 2024 ISIN XS1685702794). The Notes are traded on the Luxembourg Stock Exchange’s Euro MTF market.</w:t>
      </w:r>
    </w:p>
    <w:p w:rsidR="005A06B9" w:rsidRPr="00D77146" w:rsidRDefault="005A06B9" w:rsidP="005A06B9">
      <w:pPr>
        <w:pStyle w:val="ListParagraph"/>
        <w:numPr>
          <w:ilvl w:val="0"/>
          <w:numId w:val="33"/>
        </w:numPr>
        <w:spacing w:after="120"/>
        <w:jc w:val="both"/>
        <w:rPr>
          <w:rFonts w:ascii="Segoe UI" w:hAnsi="Segoe UI" w:cs="Segoe UI"/>
          <w:color w:val="2E3335"/>
          <w:sz w:val="22"/>
          <w:szCs w:val="22"/>
          <w:lang w:val="en-US"/>
        </w:rPr>
      </w:pPr>
      <w:r w:rsidRPr="00D77146">
        <w:rPr>
          <w:rFonts w:ascii="Segoe UI" w:hAnsi="Segoe UI" w:cs="Segoe UI"/>
          <w:color w:val="2E3335"/>
          <w:sz w:val="22"/>
          <w:szCs w:val="22"/>
          <w:lang w:val="en-US"/>
        </w:rPr>
        <w:t>On May 14</w:t>
      </w:r>
      <w:r w:rsidRPr="00D77146">
        <w:rPr>
          <w:rFonts w:ascii="Segoe UI" w:hAnsi="Segoe UI" w:cs="Segoe UI"/>
          <w:color w:val="2E3335"/>
          <w:sz w:val="22"/>
          <w:szCs w:val="22"/>
          <w:vertAlign w:val="superscript"/>
          <w:lang w:val="en-US"/>
        </w:rPr>
        <w:t>th</w:t>
      </w:r>
      <w:r w:rsidRPr="00D77146">
        <w:rPr>
          <w:rFonts w:ascii="Segoe UI" w:hAnsi="Segoe UI" w:cs="Segoe UI"/>
          <w:color w:val="2E3335"/>
          <w:sz w:val="22"/>
          <w:szCs w:val="22"/>
          <w:lang w:val="en-US"/>
        </w:rPr>
        <w:t>, 2018, the US Supreme Court has ruled that PASPA (the Professional and Amateur Sports Protection Act), a 1992 federal law which prohibited states from legalizing sports betting, is unconstitutional.</w:t>
      </w:r>
      <w:r w:rsidRPr="00D77146">
        <w:rPr>
          <w:rFonts w:ascii="Segoe UI" w:hAnsi="Segoe UI" w:cs="Segoe UI"/>
          <w:color w:val="2E3335"/>
          <w:sz w:val="22"/>
          <w:szCs w:val="22"/>
          <w:lang w:val="en-US"/>
        </w:rPr>
        <w:br w:type="page"/>
      </w:r>
    </w:p>
    <w:p w:rsidR="005A06B9" w:rsidRPr="003158B5" w:rsidRDefault="005A06B9" w:rsidP="005A06B9">
      <w:pPr>
        <w:pStyle w:val="Header"/>
        <w:spacing w:after="240"/>
        <w:ind w:right="-760"/>
        <w:jc w:val="both"/>
        <w:rPr>
          <w:rFonts w:ascii="Segoe UI" w:hAnsi="Segoe UI" w:cs="Segoe UI"/>
          <w:b/>
          <w:color w:val="FF5000"/>
          <w:sz w:val="24"/>
        </w:rPr>
      </w:pPr>
      <w:r w:rsidRPr="003158B5">
        <w:rPr>
          <w:rFonts w:ascii="Segoe UI" w:hAnsi="Segoe UI" w:cs="Segoe UI"/>
          <w:b/>
          <w:color w:val="FF5000"/>
          <w:sz w:val="24"/>
        </w:rPr>
        <w:t>APPENDIX</w:t>
      </w: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Performance per Business Segment</w:t>
      </w:r>
    </w:p>
    <w:p w:rsidR="005A06B9" w:rsidRPr="00D77146"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color w:val="2E3335"/>
          <w:sz w:val="22"/>
        </w:rPr>
        <w:t xml:space="preserve">YTD Performance </w:t>
      </w:r>
    </w:p>
    <w:p w:rsidR="005A06B9" w:rsidRPr="00D77146"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noProof/>
          <w:color w:val="2E3335"/>
          <w:sz w:val="22"/>
        </w:rPr>
        <w:drawing>
          <wp:anchor distT="0" distB="0" distL="114300" distR="114300" simplePos="0" relativeHeight="251670016" behindDoc="0" locked="0" layoutInCell="1" allowOverlap="1" wp14:anchorId="7DA59E38" wp14:editId="55B3B424">
            <wp:simplePos x="0" y="0"/>
            <wp:positionH relativeFrom="margin">
              <wp:align>center</wp:align>
            </wp:positionH>
            <wp:positionV relativeFrom="paragraph">
              <wp:posOffset>335915</wp:posOffset>
            </wp:positionV>
            <wp:extent cx="6408000" cy="172396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000" cy="1723965"/>
                    </a:xfrm>
                    <a:prstGeom prst="rect">
                      <a:avLst/>
                    </a:prstGeom>
                    <a:noFill/>
                  </pic:spPr>
                </pic:pic>
              </a:graphicData>
            </a:graphic>
            <wp14:sizeRelH relativeFrom="margin">
              <wp14:pctWidth>0</wp14:pctWidth>
            </wp14:sizeRelH>
            <wp14:sizeRelV relativeFrom="margin">
              <wp14:pctHeight>0</wp14:pctHeight>
            </wp14:sizeRelV>
          </wp:anchor>
        </w:drawing>
      </w: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Performance per Geography</w:t>
      </w:r>
    </w:p>
    <w:p w:rsidR="005A06B9" w:rsidRPr="00D77146"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color w:val="2E3335"/>
          <w:sz w:val="22"/>
        </w:rPr>
        <w:t>Revenue Breakdown</w:t>
      </w:r>
    </w:p>
    <w:tbl>
      <w:tblPr>
        <w:tblW w:w="10148" w:type="dxa"/>
        <w:tblLook w:val="04A0" w:firstRow="1" w:lastRow="0" w:firstColumn="1" w:lastColumn="0" w:noHBand="0" w:noVBand="1"/>
      </w:tblPr>
      <w:tblGrid>
        <w:gridCol w:w="4535"/>
        <w:gridCol w:w="1871"/>
        <w:gridCol w:w="1871"/>
        <w:gridCol w:w="1871"/>
      </w:tblGrid>
      <w:tr w:rsidR="005A06B9" w:rsidTr="009C10C4">
        <w:trPr>
          <w:trHeight w:val="658"/>
        </w:trPr>
        <w:tc>
          <w:tcPr>
            <w:tcW w:w="4535" w:type="dxa"/>
            <w:tcBorders>
              <w:top w:val="nil"/>
              <w:left w:val="nil"/>
              <w:bottom w:val="nil"/>
              <w:right w:val="nil"/>
            </w:tcBorders>
            <w:shd w:val="clear" w:color="auto" w:fill="auto"/>
            <w:vAlign w:val="center"/>
            <w:hideMark/>
          </w:tcPr>
          <w:p w:rsidR="005A06B9" w:rsidRPr="00285E57" w:rsidRDefault="005A06B9" w:rsidP="009C10C4">
            <w:pPr>
              <w:rPr>
                <w:rFonts w:ascii="Segoe UI" w:hAnsi="Segoe UI" w:cs="Segoe UI"/>
                <w:i/>
                <w:iCs/>
                <w:color w:val="595959" w:themeColor="text1" w:themeTint="A6"/>
                <w:szCs w:val="20"/>
              </w:rPr>
            </w:pPr>
            <w:r w:rsidRPr="00285E57">
              <w:rPr>
                <w:rFonts w:ascii="Segoe UI" w:hAnsi="Segoe UI" w:cs="Segoe UI"/>
                <w:i/>
                <w:iCs/>
                <w:color w:val="595959" w:themeColor="text1" w:themeTint="A6"/>
                <w:szCs w:val="20"/>
              </w:rPr>
              <w:t>(in € million)</w:t>
            </w:r>
          </w:p>
        </w:tc>
        <w:tc>
          <w:tcPr>
            <w:tcW w:w="1871" w:type="dxa"/>
            <w:tcBorders>
              <w:top w:val="nil"/>
              <w:left w:val="nil"/>
              <w:bottom w:val="nil"/>
              <w:right w:val="nil"/>
            </w:tcBorders>
            <w:shd w:val="clear" w:color="000000" w:fill="F2F2F2"/>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lang w:val="el-GR"/>
              </w:rPr>
              <w:t>1</w:t>
            </w:r>
            <w:r>
              <w:rPr>
                <w:rFonts w:ascii="Segoe UI" w:hAnsi="Segoe UI" w:cs="Segoe UI"/>
                <w:b/>
                <w:color w:val="FF5000"/>
                <w:sz w:val="22"/>
              </w:rPr>
              <w:t>Q18</w:t>
            </w:r>
          </w:p>
        </w:tc>
        <w:tc>
          <w:tcPr>
            <w:tcW w:w="1871" w:type="dxa"/>
            <w:tcBorders>
              <w:top w:val="nil"/>
              <w:left w:val="nil"/>
              <w:bottom w:val="nil"/>
              <w:right w:val="nil"/>
            </w:tcBorders>
            <w:shd w:val="clear" w:color="auto" w:fill="auto"/>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1Q17</w:t>
            </w:r>
          </w:p>
        </w:tc>
        <w:tc>
          <w:tcPr>
            <w:tcW w:w="1871" w:type="dxa"/>
            <w:tcBorders>
              <w:top w:val="nil"/>
              <w:left w:val="nil"/>
              <w:right w:val="nil"/>
            </w:tcBorders>
            <w:shd w:val="clear" w:color="auto" w:fill="auto"/>
            <w:vAlign w:val="center"/>
            <w:hideMark/>
          </w:tcPr>
          <w:p w:rsidR="005A06B9" w:rsidRPr="00285E57" w:rsidRDefault="005A06B9" w:rsidP="009C10C4">
            <w:pPr>
              <w:jc w:val="center"/>
              <w:rPr>
                <w:rFonts w:ascii="Segoe UI" w:hAnsi="Segoe UI" w:cs="Segoe UI"/>
                <w:i/>
                <w:iCs/>
                <w:color w:val="FF5000"/>
                <w:sz w:val="22"/>
              </w:rPr>
            </w:pPr>
            <w:r w:rsidRPr="00285E57">
              <w:rPr>
                <w:rFonts w:ascii="Segoe UI" w:hAnsi="Segoe UI" w:cs="Segoe UI"/>
                <w:i/>
                <w:iCs/>
                <w:color w:val="FF5000"/>
                <w:sz w:val="22"/>
              </w:rPr>
              <w:t>%</w:t>
            </w:r>
          </w:p>
          <w:p w:rsidR="005A06B9" w:rsidRPr="00285E57" w:rsidRDefault="005A06B9" w:rsidP="009C10C4">
            <w:pPr>
              <w:jc w:val="center"/>
              <w:rPr>
                <w:rFonts w:ascii="Segoe UI" w:hAnsi="Segoe UI" w:cs="Segoe UI"/>
                <w:i/>
                <w:iCs/>
                <w:color w:val="FF5000"/>
                <w:sz w:val="22"/>
              </w:rPr>
            </w:pPr>
            <w:r w:rsidRPr="00285E57">
              <w:rPr>
                <w:rFonts w:ascii="Segoe UI" w:hAnsi="Segoe UI" w:cs="Segoe UI"/>
                <w:i/>
                <w:iCs/>
                <w:color w:val="FF5000"/>
                <w:sz w:val="22"/>
              </w:rPr>
              <w:t>Change</w:t>
            </w:r>
          </w:p>
        </w:tc>
      </w:tr>
      <w:tr w:rsidR="00D77146" w:rsidRPr="00D77146" w:rsidTr="009C10C4">
        <w:trPr>
          <w:trHeight w:val="329"/>
        </w:trPr>
        <w:tc>
          <w:tcPr>
            <w:tcW w:w="4535"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Europe</w:t>
            </w:r>
          </w:p>
        </w:tc>
        <w:tc>
          <w:tcPr>
            <w:tcW w:w="1871" w:type="dxa"/>
            <w:tcBorders>
              <w:top w:val="single" w:sz="4" w:space="0" w:color="auto"/>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164.1</w:t>
            </w:r>
          </w:p>
        </w:tc>
        <w:tc>
          <w:tcPr>
            <w:tcW w:w="1871"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154.9</w:t>
            </w:r>
          </w:p>
        </w:tc>
        <w:tc>
          <w:tcPr>
            <w:tcW w:w="1871"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5.9%</w:t>
            </w:r>
          </w:p>
        </w:tc>
      </w:tr>
      <w:tr w:rsidR="00D77146" w:rsidRPr="00D77146" w:rsidTr="009C10C4">
        <w:trPr>
          <w:trHeight w:val="329"/>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Americas</w:t>
            </w:r>
          </w:p>
        </w:tc>
        <w:tc>
          <w:tcPr>
            <w:tcW w:w="1871" w:type="dxa"/>
            <w:tcBorders>
              <w:top w:val="nil"/>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50.3</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54.2</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-7.2%</w:t>
            </w:r>
          </w:p>
        </w:tc>
      </w:tr>
      <w:tr w:rsidR="00D77146" w:rsidRPr="00D77146" w:rsidTr="009C10C4">
        <w:trPr>
          <w:trHeight w:val="329"/>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 xml:space="preserve">Other </w:t>
            </w:r>
          </w:p>
        </w:tc>
        <w:tc>
          <w:tcPr>
            <w:tcW w:w="1871" w:type="dxa"/>
            <w:tcBorders>
              <w:top w:val="nil"/>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78.8</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72.4</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8.8%</w:t>
            </w:r>
          </w:p>
        </w:tc>
      </w:tr>
      <w:tr w:rsidR="00D77146" w:rsidRPr="00D77146" w:rsidTr="009C10C4">
        <w:trPr>
          <w:trHeight w:val="329"/>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Eliminations</w:t>
            </w:r>
          </w:p>
        </w:tc>
        <w:tc>
          <w:tcPr>
            <w:tcW w:w="1871" w:type="dxa"/>
            <w:tcBorders>
              <w:top w:val="nil"/>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-12.5</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-12.5</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r>
      <w:tr w:rsidR="00D77146" w:rsidRPr="00D77146" w:rsidTr="009C10C4">
        <w:trPr>
          <w:trHeight w:val="329"/>
        </w:trPr>
        <w:tc>
          <w:tcPr>
            <w:tcW w:w="4535" w:type="dxa"/>
            <w:tcBorders>
              <w:top w:val="nil"/>
              <w:left w:val="nil"/>
              <w:bottom w:val="nil"/>
              <w:right w:val="nil"/>
            </w:tcBorders>
            <w:shd w:val="clear" w:color="auto" w:fill="auto"/>
            <w:vAlign w:val="center"/>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Consolidated Sales</w:t>
            </w:r>
          </w:p>
        </w:tc>
        <w:tc>
          <w:tcPr>
            <w:tcW w:w="1871" w:type="dxa"/>
            <w:tcBorders>
              <w:top w:val="nil"/>
              <w:left w:val="nil"/>
              <w:bottom w:val="nil"/>
              <w:right w:val="nil"/>
            </w:tcBorders>
            <w:shd w:val="clear" w:color="000000" w:fill="F2F2F2"/>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280.7</w:t>
            </w:r>
          </w:p>
        </w:tc>
        <w:tc>
          <w:tcPr>
            <w:tcW w:w="1871" w:type="dxa"/>
            <w:tcBorders>
              <w:top w:val="nil"/>
              <w:left w:val="nil"/>
              <w:bottom w:val="nil"/>
              <w:right w:val="nil"/>
            </w:tcBorders>
            <w:shd w:val="clear" w:color="auto" w:fill="auto"/>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269.0</w:t>
            </w:r>
          </w:p>
        </w:tc>
        <w:tc>
          <w:tcPr>
            <w:tcW w:w="1871" w:type="dxa"/>
            <w:tcBorders>
              <w:top w:val="nil"/>
              <w:left w:val="nil"/>
              <w:bottom w:val="nil"/>
              <w:right w:val="nil"/>
            </w:tcBorders>
            <w:shd w:val="clear" w:color="auto" w:fill="auto"/>
            <w:vAlign w:val="center"/>
            <w:hideMark/>
          </w:tcPr>
          <w:p w:rsidR="005A06B9" w:rsidRPr="00D77146" w:rsidRDefault="005A06B9" w:rsidP="009C10C4">
            <w:pPr>
              <w:jc w:val="center"/>
              <w:rPr>
                <w:rFonts w:ascii="Segoe UI" w:hAnsi="Segoe UI" w:cs="Segoe UI"/>
                <w:b/>
                <w:bCs/>
                <w:i/>
                <w:iCs/>
                <w:color w:val="2E3335"/>
                <w:sz w:val="22"/>
              </w:rPr>
            </w:pPr>
            <w:r w:rsidRPr="00D77146">
              <w:rPr>
                <w:rFonts w:ascii="Segoe UI" w:hAnsi="Segoe UI" w:cs="Segoe UI"/>
                <w:b/>
                <w:bCs/>
                <w:i/>
                <w:iCs/>
                <w:color w:val="2E3335"/>
                <w:sz w:val="22"/>
              </w:rPr>
              <w:t>4.3%</w:t>
            </w:r>
          </w:p>
        </w:tc>
      </w:tr>
    </w:tbl>
    <w:p w:rsidR="005A06B9" w:rsidRDefault="005A06B9" w:rsidP="005A06B9">
      <w:pPr>
        <w:pStyle w:val="Header"/>
        <w:spacing w:before="240" w:after="240"/>
        <w:ind w:right="-760"/>
        <w:rPr>
          <w:rFonts w:ascii="Segoe UI" w:hAnsi="Segoe UI" w:cs="Segoe UI"/>
          <w:bCs/>
          <w:i/>
          <w:sz w:val="22"/>
        </w:rPr>
      </w:pPr>
    </w:p>
    <w:p w:rsidR="005A06B9" w:rsidRPr="00D77146"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color w:val="2E3335"/>
          <w:sz w:val="22"/>
        </w:rPr>
        <w:t>Gross Profit Breakdown</w:t>
      </w:r>
    </w:p>
    <w:tbl>
      <w:tblPr>
        <w:tblW w:w="10148" w:type="dxa"/>
        <w:tblLook w:val="04A0" w:firstRow="1" w:lastRow="0" w:firstColumn="1" w:lastColumn="0" w:noHBand="0" w:noVBand="1"/>
      </w:tblPr>
      <w:tblGrid>
        <w:gridCol w:w="4535"/>
        <w:gridCol w:w="1871"/>
        <w:gridCol w:w="1871"/>
        <w:gridCol w:w="1871"/>
      </w:tblGrid>
      <w:tr w:rsidR="005A06B9" w:rsidTr="009C10C4">
        <w:trPr>
          <w:trHeight w:val="660"/>
        </w:trPr>
        <w:tc>
          <w:tcPr>
            <w:tcW w:w="4535" w:type="dxa"/>
            <w:tcBorders>
              <w:top w:val="nil"/>
              <w:left w:val="nil"/>
              <w:bottom w:val="nil"/>
              <w:right w:val="nil"/>
            </w:tcBorders>
            <w:shd w:val="clear" w:color="auto" w:fill="auto"/>
            <w:vAlign w:val="center"/>
            <w:hideMark/>
          </w:tcPr>
          <w:p w:rsidR="005A06B9" w:rsidRPr="00285E57" w:rsidRDefault="005A06B9" w:rsidP="009C10C4">
            <w:pPr>
              <w:rPr>
                <w:rFonts w:ascii="Segoe UI" w:hAnsi="Segoe UI" w:cs="Segoe UI"/>
                <w:i/>
                <w:iCs/>
                <w:color w:val="595959" w:themeColor="text1" w:themeTint="A6"/>
                <w:szCs w:val="20"/>
              </w:rPr>
            </w:pPr>
            <w:r w:rsidRPr="00285E57">
              <w:rPr>
                <w:rFonts w:ascii="Segoe UI" w:hAnsi="Segoe UI" w:cs="Segoe UI"/>
                <w:i/>
                <w:iCs/>
                <w:color w:val="595959" w:themeColor="text1" w:themeTint="A6"/>
                <w:szCs w:val="20"/>
              </w:rPr>
              <w:t>(in € million)</w:t>
            </w:r>
          </w:p>
        </w:tc>
        <w:tc>
          <w:tcPr>
            <w:tcW w:w="1871" w:type="dxa"/>
            <w:tcBorders>
              <w:top w:val="nil"/>
              <w:left w:val="nil"/>
              <w:bottom w:val="nil"/>
              <w:right w:val="nil"/>
            </w:tcBorders>
            <w:shd w:val="clear" w:color="auto" w:fill="F2F2F2" w:themeFill="background1" w:themeFillShade="F2"/>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lang w:val="el-GR"/>
              </w:rPr>
              <w:t>1</w:t>
            </w:r>
            <w:r>
              <w:rPr>
                <w:rFonts w:ascii="Segoe UI" w:hAnsi="Segoe UI" w:cs="Segoe UI"/>
                <w:b/>
                <w:color w:val="FF5000"/>
                <w:sz w:val="22"/>
              </w:rPr>
              <w:t>Q18</w:t>
            </w:r>
          </w:p>
        </w:tc>
        <w:tc>
          <w:tcPr>
            <w:tcW w:w="1871" w:type="dxa"/>
            <w:tcBorders>
              <w:top w:val="nil"/>
              <w:left w:val="nil"/>
              <w:bottom w:val="nil"/>
              <w:right w:val="nil"/>
            </w:tcBorders>
            <w:shd w:val="clear" w:color="auto" w:fill="auto"/>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1Q17</w:t>
            </w:r>
          </w:p>
        </w:tc>
        <w:tc>
          <w:tcPr>
            <w:tcW w:w="1871" w:type="dxa"/>
            <w:tcBorders>
              <w:top w:val="nil"/>
              <w:left w:val="nil"/>
              <w:right w:val="nil"/>
            </w:tcBorders>
            <w:shd w:val="clear" w:color="auto" w:fill="auto"/>
            <w:vAlign w:val="center"/>
            <w:hideMark/>
          </w:tcPr>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w:t>
            </w:r>
          </w:p>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Change</w:t>
            </w:r>
          </w:p>
        </w:tc>
      </w:tr>
      <w:tr w:rsidR="005A06B9" w:rsidTr="009C10C4">
        <w:trPr>
          <w:trHeight w:val="330"/>
        </w:trPr>
        <w:tc>
          <w:tcPr>
            <w:tcW w:w="4535"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Europe</w:t>
            </w:r>
          </w:p>
        </w:tc>
        <w:tc>
          <w:tcPr>
            <w:tcW w:w="1871" w:type="dxa"/>
            <w:tcBorders>
              <w:top w:val="single" w:sz="4" w:space="0" w:color="auto"/>
              <w:left w:val="nil"/>
              <w:bottom w:val="single" w:sz="4" w:space="0" w:color="auto"/>
              <w:right w:val="nil"/>
            </w:tcBorders>
            <w:shd w:val="clear" w:color="auto" w:fill="F2F2F2" w:themeFill="background1" w:themeFillShade="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19.1</w:t>
            </w:r>
          </w:p>
        </w:tc>
        <w:tc>
          <w:tcPr>
            <w:tcW w:w="1871"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16.9</w:t>
            </w:r>
          </w:p>
        </w:tc>
        <w:tc>
          <w:tcPr>
            <w:tcW w:w="1871"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13.0%</w:t>
            </w:r>
          </w:p>
        </w:tc>
      </w:tr>
      <w:tr w:rsidR="005A06B9" w:rsidTr="009C10C4">
        <w:trPr>
          <w:trHeight w:val="330"/>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Americas</w:t>
            </w:r>
          </w:p>
        </w:tc>
        <w:tc>
          <w:tcPr>
            <w:tcW w:w="1871" w:type="dxa"/>
            <w:tcBorders>
              <w:top w:val="nil"/>
              <w:left w:val="nil"/>
              <w:bottom w:val="single" w:sz="4" w:space="0" w:color="auto"/>
              <w:right w:val="nil"/>
            </w:tcBorders>
            <w:shd w:val="clear" w:color="auto" w:fill="F2F2F2" w:themeFill="background1" w:themeFillShade="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5.6</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6.8</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-17.6%</w:t>
            </w:r>
          </w:p>
        </w:tc>
      </w:tr>
      <w:tr w:rsidR="005A06B9" w:rsidTr="009C10C4">
        <w:trPr>
          <w:trHeight w:val="330"/>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 xml:space="preserve">Other </w:t>
            </w:r>
          </w:p>
        </w:tc>
        <w:tc>
          <w:tcPr>
            <w:tcW w:w="1871" w:type="dxa"/>
            <w:tcBorders>
              <w:top w:val="nil"/>
              <w:left w:val="nil"/>
              <w:bottom w:val="single" w:sz="4" w:space="0" w:color="auto"/>
              <w:right w:val="nil"/>
            </w:tcBorders>
            <w:shd w:val="clear" w:color="auto" w:fill="F2F2F2" w:themeFill="background1" w:themeFillShade="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36.8</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31.2</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17.9%</w:t>
            </w:r>
          </w:p>
        </w:tc>
      </w:tr>
      <w:tr w:rsidR="005A06B9" w:rsidTr="009C10C4">
        <w:trPr>
          <w:trHeight w:val="330"/>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Eliminations</w:t>
            </w:r>
          </w:p>
        </w:tc>
        <w:tc>
          <w:tcPr>
            <w:tcW w:w="1871" w:type="dxa"/>
            <w:tcBorders>
              <w:top w:val="nil"/>
              <w:left w:val="nil"/>
              <w:bottom w:val="single" w:sz="4" w:space="0" w:color="auto"/>
              <w:right w:val="nil"/>
            </w:tcBorders>
            <w:shd w:val="clear" w:color="auto" w:fill="F2F2F2" w:themeFill="background1" w:themeFillShade="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-0.7</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lang w:val="el-GR"/>
              </w:rPr>
            </w:pPr>
            <w:r w:rsidRPr="00D77146">
              <w:rPr>
                <w:rFonts w:ascii="Segoe UI" w:hAnsi="Segoe UI" w:cs="Segoe UI"/>
                <w:color w:val="2E3335"/>
                <w:sz w:val="22"/>
              </w:rPr>
              <w:t>-0.1</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r>
      <w:tr w:rsidR="005A06B9" w:rsidTr="009C10C4">
        <w:trPr>
          <w:trHeight w:val="329"/>
        </w:trPr>
        <w:tc>
          <w:tcPr>
            <w:tcW w:w="4535" w:type="dxa"/>
            <w:tcBorders>
              <w:top w:val="nil"/>
              <w:left w:val="nil"/>
              <w:bottom w:val="nil"/>
              <w:right w:val="nil"/>
            </w:tcBorders>
            <w:shd w:val="clear" w:color="auto" w:fill="auto"/>
            <w:vAlign w:val="center"/>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Consolidated Gross Profit</w:t>
            </w:r>
          </w:p>
        </w:tc>
        <w:tc>
          <w:tcPr>
            <w:tcW w:w="1871" w:type="dxa"/>
            <w:tcBorders>
              <w:top w:val="nil"/>
              <w:left w:val="nil"/>
              <w:bottom w:val="nil"/>
              <w:right w:val="nil"/>
            </w:tcBorders>
            <w:shd w:val="clear" w:color="auto" w:fill="F2F2F2" w:themeFill="background1" w:themeFillShade="F2"/>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60.8</w:t>
            </w:r>
          </w:p>
        </w:tc>
        <w:tc>
          <w:tcPr>
            <w:tcW w:w="1871" w:type="dxa"/>
            <w:tcBorders>
              <w:top w:val="nil"/>
              <w:left w:val="nil"/>
              <w:bottom w:val="nil"/>
              <w:right w:val="nil"/>
            </w:tcBorders>
            <w:shd w:val="clear" w:color="auto" w:fill="auto"/>
            <w:vAlign w:val="center"/>
            <w:hideMark/>
          </w:tcPr>
          <w:p w:rsidR="005A06B9" w:rsidRPr="00D77146" w:rsidRDefault="005A06B9" w:rsidP="009C10C4">
            <w:pPr>
              <w:jc w:val="center"/>
              <w:rPr>
                <w:rFonts w:ascii="Segoe UI" w:hAnsi="Segoe UI" w:cs="Segoe UI"/>
                <w:b/>
                <w:bCs/>
                <w:color w:val="2E3335"/>
                <w:sz w:val="22"/>
                <w:lang w:val="el-GR"/>
              </w:rPr>
            </w:pPr>
            <w:r w:rsidRPr="00D77146">
              <w:rPr>
                <w:rFonts w:ascii="Segoe UI" w:hAnsi="Segoe UI" w:cs="Segoe UI"/>
                <w:b/>
                <w:bCs/>
                <w:color w:val="2E3335"/>
                <w:sz w:val="22"/>
              </w:rPr>
              <w:t>54.8</w:t>
            </w:r>
          </w:p>
        </w:tc>
        <w:tc>
          <w:tcPr>
            <w:tcW w:w="1871" w:type="dxa"/>
            <w:tcBorders>
              <w:top w:val="nil"/>
              <w:left w:val="nil"/>
              <w:bottom w:val="nil"/>
              <w:right w:val="nil"/>
            </w:tcBorders>
            <w:shd w:val="clear" w:color="auto" w:fill="auto"/>
            <w:vAlign w:val="center"/>
            <w:hideMark/>
          </w:tcPr>
          <w:p w:rsidR="005A06B9" w:rsidRPr="00D77146" w:rsidRDefault="005A06B9" w:rsidP="009C10C4">
            <w:pPr>
              <w:jc w:val="center"/>
              <w:rPr>
                <w:rFonts w:ascii="Segoe UI" w:hAnsi="Segoe UI" w:cs="Segoe UI"/>
                <w:b/>
                <w:bCs/>
                <w:i/>
                <w:iCs/>
                <w:color w:val="2E3335"/>
                <w:sz w:val="22"/>
              </w:rPr>
            </w:pPr>
            <w:r w:rsidRPr="00D77146">
              <w:rPr>
                <w:rFonts w:ascii="Segoe UI" w:hAnsi="Segoe UI" w:cs="Segoe UI"/>
                <w:b/>
                <w:bCs/>
                <w:i/>
                <w:iCs/>
                <w:color w:val="2E3335"/>
                <w:sz w:val="22"/>
              </w:rPr>
              <w:t>10.9%</w:t>
            </w:r>
          </w:p>
        </w:tc>
      </w:tr>
    </w:tbl>
    <w:p w:rsidR="005A06B9" w:rsidRDefault="005A06B9" w:rsidP="005A06B9">
      <w:pPr>
        <w:pStyle w:val="Header"/>
        <w:spacing w:after="120"/>
        <w:ind w:right="-759"/>
        <w:jc w:val="both"/>
        <w:rPr>
          <w:rFonts w:ascii="Segoe UI" w:hAnsi="Segoe UI" w:cs="Segoe UI"/>
          <w:sz w:val="22"/>
        </w:rPr>
      </w:pPr>
    </w:p>
    <w:p w:rsidR="005A06B9" w:rsidRPr="00D77146"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color w:val="2E3335"/>
          <w:sz w:val="22"/>
        </w:rPr>
        <w:t>Gross Margin Breakdown</w:t>
      </w:r>
    </w:p>
    <w:tbl>
      <w:tblPr>
        <w:tblW w:w="10148" w:type="dxa"/>
        <w:tblLook w:val="04A0" w:firstRow="1" w:lastRow="0" w:firstColumn="1" w:lastColumn="0" w:noHBand="0" w:noVBand="1"/>
      </w:tblPr>
      <w:tblGrid>
        <w:gridCol w:w="4535"/>
        <w:gridCol w:w="1871"/>
        <w:gridCol w:w="1871"/>
        <w:gridCol w:w="1871"/>
      </w:tblGrid>
      <w:tr w:rsidR="005A06B9" w:rsidTr="009C10C4">
        <w:trPr>
          <w:trHeight w:val="660"/>
        </w:trPr>
        <w:tc>
          <w:tcPr>
            <w:tcW w:w="4535" w:type="dxa"/>
            <w:tcBorders>
              <w:top w:val="nil"/>
              <w:left w:val="nil"/>
              <w:bottom w:val="nil"/>
              <w:right w:val="nil"/>
            </w:tcBorders>
            <w:shd w:val="clear" w:color="auto" w:fill="auto"/>
            <w:vAlign w:val="center"/>
          </w:tcPr>
          <w:p w:rsidR="005A06B9" w:rsidRPr="00285E57" w:rsidRDefault="005A06B9" w:rsidP="009C10C4">
            <w:pPr>
              <w:rPr>
                <w:rFonts w:ascii="Segoe UI" w:hAnsi="Segoe UI" w:cs="Segoe UI"/>
                <w:i/>
                <w:iCs/>
                <w:color w:val="595959" w:themeColor="text1" w:themeTint="A6"/>
                <w:szCs w:val="20"/>
              </w:rPr>
            </w:pPr>
          </w:p>
        </w:tc>
        <w:tc>
          <w:tcPr>
            <w:tcW w:w="1871" w:type="dxa"/>
            <w:tcBorders>
              <w:top w:val="nil"/>
              <w:left w:val="nil"/>
              <w:bottom w:val="nil"/>
              <w:right w:val="nil"/>
            </w:tcBorders>
            <w:shd w:val="clear" w:color="000000" w:fill="F2F2F2"/>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lang w:val="el-GR"/>
              </w:rPr>
              <w:t>1</w:t>
            </w:r>
            <w:r>
              <w:rPr>
                <w:rFonts w:ascii="Segoe UI" w:hAnsi="Segoe UI" w:cs="Segoe UI"/>
                <w:b/>
                <w:color w:val="FF5000"/>
                <w:sz w:val="22"/>
              </w:rPr>
              <w:t>Q18</w:t>
            </w:r>
          </w:p>
        </w:tc>
        <w:tc>
          <w:tcPr>
            <w:tcW w:w="1871" w:type="dxa"/>
            <w:tcBorders>
              <w:top w:val="nil"/>
              <w:left w:val="nil"/>
              <w:bottom w:val="nil"/>
              <w:right w:val="nil"/>
            </w:tcBorders>
            <w:shd w:val="clear" w:color="auto" w:fill="auto"/>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1Q17</w:t>
            </w:r>
          </w:p>
        </w:tc>
        <w:tc>
          <w:tcPr>
            <w:tcW w:w="1871" w:type="dxa"/>
            <w:tcBorders>
              <w:top w:val="nil"/>
              <w:left w:val="nil"/>
              <w:right w:val="nil"/>
            </w:tcBorders>
            <w:shd w:val="clear" w:color="auto" w:fill="auto"/>
            <w:vAlign w:val="center"/>
            <w:hideMark/>
          </w:tcPr>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w:t>
            </w:r>
          </w:p>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Change</w:t>
            </w:r>
          </w:p>
        </w:tc>
      </w:tr>
      <w:tr w:rsidR="00D77146" w:rsidRPr="00D77146" w:rsidTr="009C10C4">
        <w:trPr>
          <w:trHeight w:val="330"/>
        </w:trPr>
        <w:tc>
          <w:tcPr>
            <w:tcW w:w="4535"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Europe</w:t>
            </w:r>
          </w:p>
        </w:tc>
        <w:tc>
          <w:tcPr>
            <w:tcW w:w="1871" w:type="dxa"/>
            <w:tcBorders>
              <w:top w:val="single" w:sz="4" w:space="0" w:color="auto"/>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11.6%</w:t>
            </w:r>
          </w:p>
        </w:tc>
        <w:tc>
          <w:tcPr>
            <w:tcW w:w="1871"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10.9%</w:t>
            </w:r>
          </w:p>
        </w:tc>
        <w:tc>
          <w:tcPr>
            <w:tcW w:w="1871"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+0.7pps</w:t>
            </w:r>
          </w:p>
        </w:tc>
      </w:tr>
      <w:tr w:rsidR="00D77146" w:rsidRPr="00D77146" w:rsidTr="009C10C4">
        <w:trPr>
          <w:trHeight w:val="330"/>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Americas</w:t>
            </w:r>
          </w:p>
        </w:tc>
        <w:tc>
          <w:tcPr>
            <w:tcW w:w="1871" w:type="dxa"/>
            <w:tcBorders>
              <w:top w:val="nil"/>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11.1%</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12.5%</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-1.4pps</w:t>
            </w:r>
          </w:p>
        </w:tc>
      </w:tr>
      <w:tr w:rsidR="00D77146" w:rsidRPr="00D77146" w:rsidTr="009C10C4">
        <w:trPr>
          <w:trHeight w:val="330"/>
        </w:trPr>
        <w:tc>
          <w:tcPr>
            <w:tcW w:w="4535" w:type="dxa"/>
            <w:tcBorders>
              <w:top w:val="nil"/>
              <w:left w:val="nil"/>
              <w:bottom w:val="single" w:sz="4" w:space="0" w:color="auto"/>
              <w:right w:val="nil"/>
            </w:tcBorders>
            <w:shd w:val="clear" w:color="auto" w:fill="auto"/>
            <w:vAlign w:val="center"/>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 xml:space="preserve">Other </w:t>
            </w:r>
          </w:p>
        </w:tc>
        <w:tc>
          <w:tcPr>
            <w:tcW w:w="1871" w:type="dxa"/>
            <w:tcBorders>
              <w:top w:val="nil"/>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46.7%</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43.0%</w:t>
            </w:r>
          </w:p>
        </w:tc>
        <w:tc>
          <w:tcPr>
            <w:tcW w:w="1871"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+3.7pps</w:t>
            </w:r>
          </w:p>
        </w:tc>
      </w:tr>
      <w:tr w:rsidR="00D77146" w:rsidRPr="00D77146" w:rsidTr="009C10C4">
        <w:trPr>
          <w:trHeight w:val="329"/>
        </w:trPr>
        <w:tc>
          <w:tcPr>
            <w:tcW w:w="4535" w:type="dxa"/>
            <w:tcBorders>
              <w:top w:val="single" w:sz="4" w:space="0" w:color="auto"/>
              <w:left w:val="nil"/>
              <w:bottom w:val="nil"/>
              <w:right w:val="nil"/>
            </w:tcBorders>
            <w:shd w:val="clear" w:color="auto" w:fill="auto"/>
            <w:vAlign w:val="center"/>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Consolidated Gross Margin</w:t>
            </w:r>
          </w:p>
        </w:tc>
        <w:tc>
          <w:tcPr>
            <w:tcW w:w="1871" w:type="dxa"/>
            <w:tcBorders>
              <w:top w:val="single" w:sz="4" w:space="0" w:color="auto"/>
              <w:left w:val="nil"/>
              <w:bottom w:val="nil"/>
              <w:right w:val="nil"/>
            </w:tcBorders>
            <w:shd w:val="clear" w:color="000000" w:fill="F2F2F2"/>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21.7%</w:t>
            </w:r>
          </w:p>
        </w:tc>
        <w:tc>
          <w:tcPr>
            <w:tcW w:w="1871" w:type="dxa"/>
            <w:tcBorders>
              <w:top w:val="single" w:sz="4" w:space="0" w:color="auto"/>
              <w:left w:val="nil"/>
              <w:bottom w:val="nil"/>
              <w:right w:val="nil"/>
            </w:tcBorders>
            <w:shd w:val="clear" w:color="auto" w:fill="auto"/>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20.4%</w:t>
            </w:r>
          </w:p>
        </w:tc>
        <w:tc>
          <w:tcPr>
            <w:tcW w:w="1871" w:type="dxa"/>
            <w:tcBorders>
              <w:top w:val="nil"/>
              <w:left w:val="nil"/>
              <w:bottom w:val="nil"/>
              <w:right w:val="nil"/>
            </w:tcBorders>
            <w:shd w:val="clear" w:color="auto" w:fill="auto"/>
            <w:vAlign w:val="center"/>
            <w:hideMark/>
          </w:tcPr>
          <w:p w:rsidR="005A06B9" w:rsidRPr="00D77146" w:rsidRDefault="005A06B9" w:rsidP="009C10C4">
            <w:pPr>
              <w:jc w:val="center"/>
              <w:rPr>
                <w:rFonts w:ascii="Segoe UI" w:hAnsi="Segoe UI" w:cs="Segoe UI"/>
                <w:b/>
                <w:bCs/>
                <w:i/>
                <w:iCs/>
                <w:color w:val="2E3335"/>
                <w:sz w:val="22"/>
              </w:rPr>
            </w:pPr>
            <w:r w:rsidRPr="00D77146">
              <w:rPr>
                <w:rFonts w:ascii="Segoe UI" w:hAnsi="Segoe UI" w:cs="Segoe UI"/>
                <w:b/>
                <w:bCs/>
                <w:i/>
                <w:iCs/>
                <w:color w:val="2E3335"/>
                <w:sz w:val="22"/>
              </w:rPr>
              <w:t>+1.3pps</w:t>
            </w:r>
          </w:p>
        </w:tc>
      </w:tr>
    </w:tbl>
    <w:p w:rsidR="005A06B9" w:rsidRPr="00D77146" w:rsidRDefault="005A06B9" w:rsidP="005A06B9">
      <w:pPr>
        <w:pStyle w:val="Header"/>
        <w:spacing w:after="120"/>
        <w:ind w:right="-759"/>
        <w:jc w:val="both"/>
        <w:rPr>
          <w:rFonts w:ascii="Segoe UI" w:hAnsi="Segoe UI" w:cs="Segoe UI"/>
          <w:color w:val="2E3335"/>
          <w:sz w:val="22"/>
        </w:rPr>
      </w:pPr>
    </w:p>
    <w:p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INTRALOT Parent Company results</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Revenues</w:t>
      </w:r>
      <w:r w:rsidRPr="00D77146">
        <w:rPr>
          <w:rFonts w:ascii="Segoe UI" w:hAnsi="Segoe UI" w:cs="Segoe UI"/>
          <w:color w:val="2E3335"/>
          <w:sz w:val="22"/>
        </w:rPr>
        <w:t xml:space="preserve"> for the period increased by 2.8% to €14.5m. The sales increase is primarily driven by the </w:t>
      </w:r>
      <w:r w:rsidRPr="00D77146">
        <w:rPr>
          <w:rFonts w:ascii="Segoe UI" w:hAnsi="Segoe UI" w:cs="Segoe UI"/>
          <w:b/>
          <w:color w:val="2E3335"/>
          <w:sz w:val="22"/>
        </w:rPr>
        <w:t>higher</w:t>
      </w:r>
      <w:r w:rsidRPr="00D77146">
        <w:rPr>
          <w:rFonts w:ascii="Segoe UI" w:hAnsi="Segoe UI" w:cs="Segoe UI"/>
          <w:color w:val="2E3335"/>
          <w:sz w:val="22"/>
        </w:rPr>
        <w:t xml:space="preserve"> equipment sales related to our facilities management contract in Peru in 1Q18 vs. 1Q17.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EBITDA</w:t>
      </w:r>
      <w:r w:rsidRPr="00D77146">
        <w:rPr>
          <w:rFonts w:ascii="Segoe UI" w:hAnsi="Segoe UI" w:cs="Segoe UI"/>
          <w:color w:val="2E3335"/>
          <w:sz w:val="22"/>
        </w:rPr>
        <w:t xml:space="preserve"> decreased to €0.1m from €0.9m in 1Q17. The EBITDA variance is mainly the result of the negative OPEX variance y-o-y due to a doubtful debt provision for intragroup balances (€-1.3m) recorded in the 1Q18.</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Earnings after Taxes</w:t>
      </w:r>
      <w:r w:rsidRPr="00D77146">
        <w:rPr>
          <w:rFonts w:ascii="Segoe UI" w:hAnsi="Segoe UI" w:cs="Segoe UI"/>
          <w:color w:val="2E3335"/>
          <w:sz w:val="22"/>
        </w:rPr>
        <w:t xml:space="preserve"> (EAT) at €0.0m from €4.8m in 1Q17.</w:t>
      </w:r>
    </w:p>
    <w:p w:rsidR="005A06B9" w:rsidRPr="00D77146"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D77146">
        <w:rPr>
          <w:rFonts w:ascii="Segoe UI" w:hAnsi="Segoe UI" w:cs="Segoe UI"/>
          <w:b/>
          <w:color w:val="2E3335"/>
          <w:sz w:val="22"/>
        </w:rPr>
        <w:t xml:space="preserve">LTM EBITDA </w:t>
      </w:r>
      <w:r w:rsidRPr="00D77146">
        <w:rPr>
          <w:rFonts w:ascii="Segoe UI" w:hAnsi="Segoe UI" w:cs="Segoe UI"/>
          <w:color w:val="2E3335"/>
          <w:sz w:val="22"/>
        </w:rPr>
        <w:t>figure remained relatively stable, excluding the impact of the intragroup doubtful debt provision.</w:t>
      </w:r>
    </w:p>
    <w:p w:rsidR="005A06B9" w:rsidRPr="000D0DB0" w:rsidRDefault="005A06B9" w:rsidP="005A06B9">
      <w:pPr>
        <w:pStyle w:val="Header"/>
        <w:spacing w:after="120"/>
        <w:jc w:val="both"/>
        <w:rPr>
          <w:rFonts w:ascii="Segoe UI" w:hAnsi="Segoe UI" w:cs="Segoe UI"/>
          <w:sz w:val="22"/>
        </w:rPr>
      </w:pPr>
    </w:p>
    <w:tbl>
      <w:tblPr>
        <w:tblW w:w="10182" w:type="dxa"/>
        <w:tblLook w:val="04A0" w:firstRow="1" w:lastRow="0" w:firstColumn="1" w:lastColumn="0" w:noHBand="0" w:noVBand="1"/>
      </w:tblPr>
      <w:tblGrid>
        <w:gridCol w:w="3606"/>
        <w:gridCol w:w="1644"/>
        <w:gridCol w:w="1644"/>
        <w:gridCol w:w="1644"/>
        <w:gridCol w:w="1644"/>
      </w:tblGrid>
      <w:tr w:rsidR="005A06B9" w:rsidTr="009C10C4">
        <w:trPr>
          <w:trHeight w:val="660"/>
        </w:trPr>
        <w:tc>
          <w:tcPr>
            <w:tcW w:w="3606" w:type="dxa"/>
            <w:tcBorders>
              <w:top w:val="nil"/>
              <w:left w:val="nil"/>
              <w:bottom w:val="nil"/>
              <w:right w:val="nil"/>
            </w:tcBorders>
            <w:shd w:val="clear" w:color="auto" w:fill="auto"/>
            <w:vAlign w:val="center"/>
          </w:tcPr>
          <w:p w:rsidR="005A06B9" w:rsidRPr="00285E57" w:rsidRDefault="005A06B9" w:rsidP="009C10C4">
            <w:pPr>
              <w:rPr>
                <w:rFonts w:ascii="Segoe UI" w:hAnsi="Segoe UI" w:cs="Segoe UI"/>
                <w:i/>
                <w:iCs/>
                <w:color w:val="595959" w:themeColor="text1" w:themeTint="A6"/>
                <w:szCs w:val="20"/>
              </w:rPr>
            </w:pPr>
            <w:r w:rsidRPr="00285E57">
              <w:rPr>
                <w:rFonts w:ascii="Segoe UI" w:hAnsi="Segoe UI" w:cs="Segoe UI"/>
                <w:i/>
                <w:iCs/>
                <w:color w:val="595959" w:themeColor="text1" w:themeTint="A6"/>
                <w:szCs w:val="20"/>
              </w:rPr>
              <w:t>(in € million)</w:t>
            </w:r>
          </w:p>
        </w:tc>
        <w:tc>
          <w:tcPr>
            <w:tcW w:w="1644" w:type="dxa"/>
            <w:tcBorders>
              <w:top w:val="nil"/>
              <w:left w:val="nil"/>
              <w:bottom w:val="nil"/>
              <w:right w:val="nil"/>
            </w:tcBorders>
            <w:shd w:val="clear" w:color="000000" w:fill="F2F2F2"/>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lang w:val="el-GR"/>
              </w:rPr>
              <w:t>1</w:t>
            </w:r>
            <w:r>
              <w:rPr>
                <w:rFonts w:ascii="Segoe UI" w:hAnsi="Segoe UI" w:cs="Segoe UI"/>
                <w:b/>
                <w:color w:val="FF5000"/>
                <w:sz w:val="22"/>
              </w:rPr>
              <w:t>Q18</w:t>
            </w:r>
          </w:p>
        </w:tc>
        <w:tc>
          <w:tcPr>
            <w:tcW w:w="1644" w:type="dxa"/>
            <w:tcBorders>
              <w:top w:val="nil"/>
              <w:left w:val="nil"/>
              <w:bottom w:val="nil"/>
              <w:right w:val="nil"/>
            </w:tcBorders>
            <w:shd w:val="clear" w:color="auto" w:fill="auto"/>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1Q17</w:t>
            </w:r>
          </w:p>
        </w:tc>
        <w:tc>
          <w:tcPr>
            <w:tcW w:w="1644" w:type="dxa"/>
            <w:tcBorders>
              <w:top w:val="nil"/>
              <w:left w:val="nil"/>
              <w:right w:val="nil"/>
            </w:tcBorders>
            <w:shd w:val="clear" w:color="auto" w:fill="auto"/>
            <w:vAlign w:val="center"/>
            <w:hideMark/>
          </w:tcPr>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w:t>
            </w:r>
          </w:p>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Change</w:t>
            </w:r>
          </w:p>
        </w:tc>
        <w:tc>
          <w:tcPr>
            <w:tcW w:w="1644" w:type="dxa"/>
            <w:tcBorders>
              <w:top w:val="nil"/>
              <w:left w:val="nil"/>
              <w:right w:val="nil"/>
            </w:tcBorders>
            <w:shd w:val="clear" w:color="auto" w:fill="F2F2F2" w:themeFill="background1" w:themeFillShade="F2"/>
            <w:vAlign w:val="center"/>
          </w:tcPr>
          <w:p w:rsidR="005A06B9" w:rsidRPr="0057781B" w:rsidRDefault="005A06B9" w:rsidP="009C10C4">
            <w:pPr>
              <w:jc w:val="center"/>
              <w:rPr>
                <w:rFonts w:ascii="Segoe UI" w:hAnsi="Segoe UI" w:cs="Segoe UI"/>
                <w:i/>
                <w:iCs/>
                <w:color w:val="FF5000"/>
                <w:sz w:val="22"/>
              </w:rPr>
            </w:pPr>
            <w:r>
              <w:rPr>
                <w:rFonts w:ascii="Segoe UI" w:hAnsi="Segoe UI" w:cs="Segoe UI"/>
                <w:b/>
                <w:color w:val="FF5000"/>
                <w:sz w:val="22"/>
              </w:rPr>
              <w:t>LTM</w:t>
            </w:r>
          </w:p>
        </w:tc>
      </w:tr>
      <w:tr w:rsidR="005A06B9" w:rsidTr="009C10C4">
        <w:trPr>
          <w:trHeight w:val="330"/>
        </w:trPr>
        <w:tc>
          <w:tcPr>
            <w:tcW w:w="3606" w:type="dxa"/>
            <w:tcBorders>
              <w:top w:val="single" w:sz="4" w:space="0" w:color="auto"/>
              <w:left w:val="nil"/>
              <w:bottom w:val="single" w:sz="4" w:space="0" w:color="auto"/>
              <w:right w:val="nil"/>
            </w:tcBorders>
            <w:shd w:val="clear" w:color="auto" w:fill="auto"/>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b/>
                <w:bCs/>
                <w:color w:val="2E3335"/>
                <w:sz w:val="22"/>
              </w:rPr>
              <w:t>Revenues</w:t>
            </w:r>
          </w:p>
        </w:tc>
        <w:tc>
          <w:tcPr>
            <w:tcW w:w="1644" w:type="dxa"/>
            <w:tcBorders>
              <w:top w:val="single" w:sz="4" w:space="0" w:color="auto"/>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b/>
                <w:bCs/>
                <w:color w:val="2E3335"/>
                <w:sz w:val="22"/>
              </w:rPr>
              <w:t>14.5</w:t>
            </w:r>
          </w:p>
        </w:tc>
        <w:tc>
          <w:tcPr>
            <w:tcW w:w="1644"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b/>
                <w:bCs/>
                <w:color w:val="2E3335"/>
                <w:sz w:val="22"/>
              </w:rPr>
              <w:t>14.1</w:t>
            </w:r>
          </w:p>
        </w:tc>
        <w:tc>
          <w:tcPr>
            <w:tcW w:w="1644" w:type="dxa"/>
            <w:tcBorders>
              <w:top w:val="single" w:sz="4" w:space="0" w:color="auto"/>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2.8%</w:t>
            </w:r>
          </w:p>
        </w:tc>
        <w:tc>
          <w:tcPr>
            <w:tcW w:w="1644" w:type="dxa"/>
            <w:tcBorders>
              <w:top w:val="single" w:sz="4" w:space="0" w:color="auto"/>
              <w:left w:val="nil"/>
              <w:bottom w:val="single" w:sz="4" w:space="0" w:color="auto"/>
              <w:right w:val="nil"/>
            </w:tcBorders>
            <w:shd w:val="clear" w:color="auto" w:fill="F2F2F2" w:themeFill="background1" w:themeFillShade="F2"/>
          </w:tcPr>
          <w:p w:rsidR="005A06B9" w:rsidRPr="00D77146" w:rsidRDefault="005A06B9" w:rsidP="009C10C4">
            <w:pPr>
              <w:jc w:val="center"/>
              <w:rPr>
                <w:rFonts w:ascii="Segoe UI" w:hAnsi="Segoe UI" w:cs="Segoe UI"/>
                <w:iCs/>
                <w:color w:val="2E3335"/>
                <w:sz w:val="22"/>
              </w:rPr>
            </w:pPr>
            <w:r w:rsidRPr="00D77146">
              <w:rPr>
                <w:rFonts w:ascii="Segoe UI" w:hAnsi="Segoe UI" w:cs="Segoe UI"/>
                <w:iCs/>
                <w:color w:val="2E3335"/>
                <w:sz w:val="22"/>
              </w:rPr>
              <w:t>67.2</w:t>
            </w:r>
          </w:p>
        </w:tc>
      </w:tr>
      <w:tr w:rsidR="005A06B9" w:rsidTr="009C10C4">
        <w:trPr>
          <w:trHeight w:val="330"/>
        </w:trPr>
        <w:tc>
          <w:tcPr>
            <w:tcW w:w="3606" w:type="dxa"/>
            <w:tcBorders>
              <w:top w:val="nil"/>
              <w:left w:val="nil"/>
              <w:bottom w:val="single" w:sz="4" w:space="0" w:color="auto"/>
              <w:right w:val="nil"/>
            </w:tcBorders>
            <w:shd w:val="clear" w:color="auto" w:fill="auto"/>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Gross Profit</w:t>
            </w:r>
          </w:p>
        </w:tc>
        <w:tc>
          <w:tcPr>
            <w:tcW w:w="1644" w:type="dxa"/>
            <w:tcBorders>
              <w:top w:val="nil"/>
              <w:left w:val="nil"/>
              <w:bottom w:val="single" w:sz="4" w:space="0" w:color="auto"/>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4.8</w:t>
            </w:r>
          </w:p>
        </w:tc>
        <w:tc>
          <w:tcPr>
            <w:tcW w:w="1644"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5.3</w:t>
            </w:r>
          </w:p>
        </w:tc>
        <w:tc>
          <w:tcPr>
            <w:tcW w:w="1644" w:type="dxa"/>
            <w:tcBorders>
              <w:top w:val="nil"/>
              <w:left w:val="nil"/>
              <w:bottom w:val="single" w:sz="4" w:space="0" w:color="auto"/>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-9.4%</w:t>
            </w:r>
          </w:p>
        </w:tc>
        <w:tc>
          <w:tcPr>
            <w:tcW w:w="1644" w:type="dxa"/>
            <w:tcBorders>
              <w:top w:val="nil"/>
              <w:left w:val="nil"/>
              <w:bottom w:val="single" w:sz="4" w:space="0" w:color="auto"/>
              <w:right w:val="nil"/>
            </w:tcBorders>
            <w:shd w:val="clear" w:color="auto" w:fill="F2F2F2" w:themeFill="background1" w:themeFillShade="F2"/>
          </w:tcPr>
          <w:p w:rsidR="005A06B9" w:rsidRPr="00D77146" w:rsidRDefault="005A06B9" w:rsidP="009C10C4">
            <w:pPr>
              <w:jc w:val="center"/>
              <w:rPr>
                <w:rFonts w:ascii="Segoe UI" w:hAnsi="Segoe UI" w:cs="Segoe UI"/>
                <w:iCs/>
                <w:color w:val="2E3335"/>
                <w:sz w:val="22"/>
              </w:rPr>
            </w:pPr>
            <w:r w:rsidRPr="00D77146">
              <w:rPr>
                <w:rFonts w:ascii="Segoe UI" w:hAnsi="Segoe UI" w:cs="Segoe UI"/>
                <w:iCs/>
                <w:color w:val="2E3335"/>
                <w:sz w:val="22"/>
              </w:rPr>
              <w:t>27.6</w:t>
            </w:r>
          </w:p>
        </w:tc>
      </w:tr>
      <w:tr w:rsidR="005A06B9" w:rsidTr="009C10C4">
        <w:trPr>
          <w:trHeight w:val="330"/>
        </w:trPr>
        <w:tc>
          <w:tcPr>
            <w:tcW w:w="3606" w:type="dxa"/>
            <w:tcBorders>
              <w:top w:val="nil"/>
              <w:left w:val="nil"/>
              <w:bottom w:val="single" w:sz="4" w:space="0" w:color="auto"/>
              <w:right w:val="nil"/>
            </w:tcBorders>
            <w:shd w:val="clear" w:color="auto" w:fill="auto"/>
            <w:vAlign w:val="bottom"/>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 Operating Income</w:t>
            </w:r>
          </w:p>
        </w:tc>
        <w:tc>
          <w:tcPr>
            <w:tcW w:w="1644" w:type="dxa"/>
            <w:tcBorders>
              <w:top w:val="nil"/>
              <w:left w:val="nil"/>
              <w:bottom w:val="single" w:sz="4" w:space="0" w:color="auto"/>
              <w:right w:val="nil"/>
            </w:tcBorders>
            <w:shd w:val="clear" w:color="000000" w:fill="F2F2F2"/>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0.1</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0.0</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nil"/>
              <w:left w:val="nil"/>
              <w:bottom w:val="single" w:sz="4" w:space="0" w:color="auto"/>
              <w:right w:val="nil"/>
            </w:tcBorders>
            <w:shd w:val="clear" w:color="auto" w:fill="F2F2F2" w:themeFill="background1" w:themeFillShade="F2"/>
          </w:tcPr>
          <w:p w:rsidR="005A06B9" w:rsidRPr="00D77146" w:rsidRDefault="005A06B9" w:rsidP="009C10C4">
            <w:pPr>
              <w:jc w:val="center"/>
              <w:rPr>
                <w:rFonts w:ascii="Segoe UI" w:hAnsi="Segoe UI" w:cs="Segoe UI"/>
                <w:iCs/>
                <w:color w:val="2E3335"/>
                <w:sz w:val="22"/>
              </w:rPr>
            </w:pPr>
            <w:r w:rsidRPr="00D77146">
              <w:rPr>
                <w:rFonts w:ascii="Segoe UI" w:hAnsi="Segoe UI" w:cs="Segoe UI"/>
                <w:iCs/>
                <w:color w:val="2E3335"/>
                <w:sz w:val="22"/>
              </w:rPr>
              <w:t>2.1</w:t>
            </w:r>
          </w:p>
        </w:tc>
      </w:tr>
      <w:tr w:rsidR="005A06B9" w:rsidTr="009C10C4">
        <w:trPr>
          <w:trHeight w:val="330"/>
        </w:trPr>
        <w:tc>
          <w:tcPr>
            <w:tcW w:w="3606" w:type="dxa"/>
            <w:tcBorders>
              <w:top w:val="nil"/>
              <w:left w:val="nil"/>
              <w:bottom w:val="single" w:sz="4" w:space="0" w:color="auto"/>
              <w:right w:val="nil"/>
            </w:tcBorders>
            <w:shd w:val="clear" w:color="auto" w:fill="auto"/>
            <w:vAlign w:val="bottom"/>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OPEX</w:t>
            </w:r>
          </w:p>
        </w:tc>
        <w:tc>
          <w:tcPr>
            <w:tcW w:w="1644" w:type="dxa"/>
            <w:tcBorders>
              <w:top w:val="nil"/>
              <w:left w:val="nil"/>
              <w:bottom w:val="single" w:sz="4" w:space="0" w:color="auto"/>
              <w:right w:val="nil"/>
            </w:tcBorders>
            <w:shd w:val="clear" w:color="000000" w:fill="F2F2F2"/>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-8.3</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-7.5</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+10.7%</w:t>
            </w:r>
          </w:p>
        </w:tc>
        <w:tc>
          <w:tcPr>
            <w:tcW w:w="1644" w:type="dxa"/>
            <w:tcBorders>
              <w:top w:val="nil"/>
              <w:left w:val="nil"/>
              <w:bottom w:val="single" w:sz="4" w:space="0" w:color="auto"/>
              <w:right w:val="nil"/>
            </w:tcBorders>
            <w:shd w:val="clear" w:color="auto" w:fill="F2F2F2" w:themeFill="background1" w:themeFillShade="F2"/>
          </w:tcPr>
          <w:p w:rsidR="005A06B9" w:rsidRPr="00D77146" w:rsidRDefault="005A06B9" w:rsidP="009C10C4">
            <w:pPr>
              <w:jc w:val="center"/>
              <w:rPr>
                <w:rFonts w:ascii="Segoe UI" w:hAnsi="Segoe UI" w:cs="Segoe UI"/>
                <w:iCs/>
                <w:color w:val="2E3335"/>
                <w:sz w:val="22"/>
              </w:rPr>
            </w:pPr>
            <w:r w:rsidRPr="00D77146">
              <w:rPr>
                <w:rFonts w:ascii="Segoe UI" w:hAnsi="Segoe UI" w:cs="Segoe UI"/>
                <w:iCs/>
                <w:color w:val="2E3335"/>
                <w:sz w:val="22"/>
              </w:rPr>
              <w:t>35.5</w:t>
            </w:r>
          </w:p>
        </w:tc>
      </w:tr>
      <w:tr w:rsidR="005A06B9" w:rsidTr="009C10C4">
        <w:trPr>
          <w:trHeight w:val="330"/>
        </w:trPr>
        <w:tc>
          <w:tcPr>
            <w:tcW w:w="3606" w:type="dxa"/>
            <w:tcBorders>
              <w:top w:val="nil"/>
              <w:left w:val="nil"/>
              <w:bottom w:val="single" w:sz="4" w:space="0" w:color="auto"/>
              <w:right w:val="nil"/>
            </w:tcBorders>
            <w:shd w:val="clear" w:color="auto" w:fill="auto"/>
            <w:vAlign w:val="bottom"/>
          </w:tcPr>
          <w:p w:rsidR="005A06B9" w:rsidRPr="00D77146" w:rsidRDefault="005A06B9" w:rsidP="009C10C4">
            <w:pPr>
              <w:rPr>
                <w:rFonts w:ascii="Segoe UI" w:hAnsi="Segoe UI" w:cs="Segoe UI"/>
                <w:color w:val="2E3335"/>
                <w:sz w:val="22"/>
              </w:rPr>
            </w:pPr>
            <w:r w:rsidRPr="00D77146">
              <w:rPr>
                <w:rFonts w:ascii="Segoe UI" w:hAnsi="Segoe UI" w:cs="Segoe UI"/>
                <w:b/>
                <w:color w:val="2E3335"/>
                <w:sz w:val="22"/>
              </w:rPr>
              <w:t>EBITDA</w:t>
            </w:r>
          </w:p>
        </w:tc>
        <w:tc>
          <w:tcPr>
            <w:tcW w:w="1644" w:type="dxa"/>
            <w:tcBorders>
              <w:top w:val="nil"/>
              <w:left w:val="nil"/>
              <w:bottom w:val="single" w:sz="4" w:space="0" w:color="auto"/>
              <w:right w:val="nil"/>
            </w:tcBorders>
            <w:shd w:val="clear" w:color="000000" w:fill="F2F2F2"/>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b/>
                <w:color w:val="2E3335"/>
                <w:sz w:val="22"/>
              </w:rPr>
              <w:t>0.1</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b/>
                <w:color w:val="2E3335"/>
                <w:sz w:val="22"/>
              </w:rPr>
              <w:t>0.9</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-89%</w:t>
            </w:r>
          </w:p>
        </w:tc>
        <w:tc>
          <w:tcPr>
            <w:tcW w:w="1644" w:type="dxa"/>
            <w:tcBorders>
              <w:top w:val="nil"/>
              <w:left w:val="nil"/>
              <w:bottom w:val="single" w:sz="4" w:space="0" w:color="auto"/>
              <w:right w:val="nil"/>
            </w:tcBorders>
            <w:shd w:val="clear" w:color="auto" w:fill="F2F2F2" w:themeFill="background1" w:themeFillShade="F2"/>
          </w:tcPr>
          <w:p w:rsidR="005A06B9" w:rsidRPr="00D77146" w:rsidRDefault="005A06B9" w:rsidP="009C10C4">
            <w:pPr>
              <w:jc w:val="center"/>
              <w:rPr>
                <w:rFonts w:ascii="Segoe UI" w:hAnsi="Segoe UI" w:cs="Segoe UI"/>
                <w:b/>
                <w:iCs/>
                <w:color w:val="2E3335"/>
                <w:sz w:val="22"/>
              </w:rPr>
            </w:pPr>
            <w:r w:rsidRPr="00D77146">
              <w:rPr>
                <w:rFonts w:ascii="Segoe UI" w:hAnsi="Segoe UI" w:cs="Segoe UI"/>
                <w:b/>
                <w:iCs/>
                <w:color w:val="2E3335"/>
                <w:sz w:val="22"/>
              </w:rPr>
              <w:t>8.0</w:t>
            </w:r>
          </w:p>
        </w:tc>
      </w:tr>
      <w:tr w:rsidR="005A06B9" w:rsidTr="009C10C4">
        <w:trPr>
          <w:trHeight w:val="330"/>
        </w:trPr>
        <w:tc>
          <w:tcPr>
            <w:tcW w:w="3606" w:type="dxa"/>
            <w:tcBorders>
              <w:top w:val="nil"/>
              <w:left w:val="nil"/>
              <w:bottom w:val="single" w:sz="4" w:space="0" w:color="auto"/>
              <w:right w:val="nil"/>
            </w:tcBorders>
            <w:shd w:val="clear" w:color="auto" w:fill="auto"/>
            <w:vAlign w:val="bottom"/>
          </w:tcPr>
          <w:p w:rsidR="005A06B9" w:rsidRPr="00D77146" w:rsidRDefault="005A06B9" w:rsidP="009C10C4">
            <w:pPr>
              <w:rPr>
                <w:rFonts w:ascii="Segoe UI" w:hAnsi="Segoe UI" w:cs="Segoe UI"/>
                <w:color w:val="2E3335"/>
                <w:sz w:val="22"/>
              </w:rPr>
            </w:pPr>
            <w:r w:rsidRPr="00D77146">
              <w:rPr>
                <w:rFonts w:ascii="Segoe UI" w:hAnsi="Segoe UI" w:cs="Segoe UI"/>
                <w:b/>
                <w:color w:val="2E3335"/>
                <w:sz w:val="22"/>
              </w:rPr>
              <w:t>EAT</w:t>
            </w:r>
          </w:p>
        </w:tc>
        <w:tc>
          <w:tcPr>
            <w:tcW w:w="1644" w:type="dxa"/>
            <w:tcBorders>
              <w:top w:val="nil"/>
              <w:left w:val="nil"/>
              <w:bottom w:val="single" w:sz="4" w:space="0" w:color="auto"/>
              <w:right w:val="nil"/>
            </w:tcBorders>
            <w:shd w:val="clear" w:color="000000" w:fill="F2F2F2"/>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b/>
                <w:color w:val="2E3335"/>
                <w:sz w:val="22"/>
              </w:rPr>
              <w:t>0.0</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color w:val="2E3335"/>
                <w:sz w:val="22"/>
              </w:rPr>
            </w:pPr>
            <w:r w:rsidRPr="00D77146">
              <w:rPr>
                <w:rFonts w:ascii="Segoe UI" w:hAnsi="Segoe UI" w:cs="Segoe UI"/>
                <w:b/>
                <w:color w:val="2E3335"/>
                <w:sz w:val="22"/>
              </w:rPr>
              <w:t>4.8</w:t>
            </w:r>
          </w:p>
        </w:tc>
        <w:tc>
          <w:tcPr>
            <w:tcW w:w="1644" w:type="dxa"/>
            <w:tcBorders>
              <w:top w:val="nil"/>
              <w:left w:val="nil"/>
              <w:bottom w:val="single" w:sz="4" w:space="0" w:color="auto"/>
              <w:right w:val="nil"/>
            </w:tcBorders>
            <w:shd w:val="clear" w:color="auto" w:fill="auto"/>
            <w:vAlign w:val="center"/>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nil"/>
              <w:left w:val="nil"/>
              <w:bottom w:val="single" w:sz="4" w:space="0" w:color="auto"/>
              <w:right w:val="nil"/>
            </w:tcBorders>
            <w:shd w:val="clear" w:color="auto" w:fill="F2F2F2" w:themeFill="background1" w:themeFillShade="F2"/>
          </w:tcPr>
          <w:p w:rsidR="005A06B9" w:rsidRPr="00D77146" w:rsidRDefault="005A06B9" w:rsidP="009C10C4">
            <w:pPr>
              <w:jc w:val="center"/>
              <w:rPr>
                <w:rFonts w:ascii="Segoe UI" w:hAnsi="Segoe UI" w:cs="Segoe UI"/>
                <w:b/>
                <w:iCs/>
                <w:color w:val="2E3335"/>
                <w:sz w:val="22"/>
              </w:rPr>
            </w:pPr>
            <w:r w:rsidRPr="00D77146">
              <w:rPr>
                <w:rFonts w:ascii="Segoe UI" w:hAnsi="Segoe UI" w:cs="Segoe UI"/>
                <w:b/>
                <w:iCs/>
                <w:color w:val="2E3335"/>
                <w:sz w:val="22"/>
              </w:rPr>
              <w:t>-16.3</w:t>
            </w:r>
          </w:p>
        </w:tc>
      </w:tr>
      <w:tr w:rsidR="005A06B9" w:rsidTr="009C10C4">
        <w:trPr>
          <w:trHeight w:val="330"/>
        </w:trPr>
        <w:tc>
          <w:tcPr>
            <w:tcW w:w="3606" w:type="dxa"/>
            <w:tcBorders>
              <w:top w:val="single" w:sz="4" w:space="0" w:color="auto"/>
              <w:left w:val="nil"/>
              <w:right w:val="nil"/>
            </w:tcBorders>
            <w:shd w:val="clear" w:color="auto" w:fill="auto"/>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CAPEX (paid)</w:t>
            </w:r>
          </w:p>
        </w:tc>
        <w:tc>
          <w:tcPr>
            <w:tcW w:w="1644" w:type="dxa"/>
            <w:tcBorders>
              <w:top w:val="single" w:sz="4" w:space="0" w:color="auto"/>
              <w:left w:val="nil"/>
              <w:right w:val="nil"/>
            </w:tcBorders>
            <w:shd w:val="clear" w:color="000000" w:fill="F2F2F2"/>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-4.7</w:t>
            </w:r>
          </w:p>
        </w:tc>
        <w:tc>
          <w:tcPr>
            <w:tcW w:w="1644" w:type="dxa"/>
            <w:tcBorders>
              <w:top w:val="single" w:sz="4" w:space="0" w:color="auto"/>
              <w:left w:val="nil"/>
              <w:right w:val="nil"/>
            </w:tcBorders>
            <w:shd w:val="clear" w:color="auto" w:fill="auto"/>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-3.2</w:t>
            </w:r>
          </w:p>
        </w:tc>
        <w:tc>
          <w:tcPr>
            <w:tcW w:w="1644" w:type="dxa"/>
            <w:tcBorders>
              <w:top w:val="single" w:sz="4" w:space="0" w:color="auto"/>
              <w:left w:val="nil"/>
              <w:right w:val="nil"/>
            </w:tcBorders>
            <w:shd w:val="clear" w:color="auto" w:fill="auto"/>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+46.9%</w:t>
            </w:r>
          </w:p>
        </w:tc>
        <w:tc>
          <w:tcPr>
            <w:tcW w:w="1644" w:type="dxa"/>
            <w:tcBorders>
              <w:top w:val="single" w:sz="4" w:space="0" w:color="auto"/>
              <w:left w:val="nil"/>
              <w:right w:val="nil"/>
            </w:tcBorders>
            <w:shd w:val="clear" w:color="auto" w:fill="F2F2F2" w:themeFill="background1" w:themeFillShade="F2"/>
          </w:tcPr>
          <w:p w:rsidR="005A06B9" w:rsidRPr="00D77146" w:rsidRDefault="005A06B9" w:rsidP="009C10C4">
            <w:pPr>
              <w:jc w:val="center"/>
              <w:rPr>
                <w:rFonts w:ascii="Segoe UI" w:hAnsi="Segoe UI" w:cs="Segoe UI"/>
                <w:iCs/>
                <w:color w:val="2E3335"/>
                <w:sz w:val="22"/>
              </w:rPr>
            </w:pPr>
            <w:r w:rsidRPr="00D77146">
              <w:rPr>
                <w:rFonts w:ascii="Segoe UI" w:hAnsi="Segoe UI" w:cs="Segoe UI"/>
                <w:iCs/>
                <w:color w:val="2E3335"/>
                <w:sz w:val="22"/>
              </w:rPr>
              <w:t>-17.0</w:t>
            </w:r>
          </w:p>
        </w:tc>
      </w:tr>
    </w:tbl>
    <w:p w:rsidR="005A06B9" w:rsidRDefault="005A06B9" w:rsidP="005A06B9">
      <w:pPr>
        <w:rPr>
          <w:rFonts w:ascii="Segoe UI" w:hAnsi="Segoe UI" w:cs="Segoe UI"/>
          <w:b/>
          <w:bCs/>
          <w:sz w:val="22"/>
        </w:rPr>
      </w:pPr>
      <w:r>
        <w:rPr>
          <w:rFonts w:ascii="Segoe UI" w:hAnsi="Segoe UI" w:cs="Segoe UI"/>
          <w:b/>
          <w:bCs/>
          <w:sz w:val="22"/>
        </w:rPr>
        <w:br w:type="page"/>
      </w:r>
    </w:p>
    <w:p w:rsidR="005A06B9" w:rsidRPr="000D0DB0" w:rsidRDefault="005A06B9" w:rsidP="005A06B9">
      <w:pPr>
        <w:pStyle w:val="Header"/>
        <w:spacing w:after="240"/>
        <w:ind w:right="-760"/>
        <w:jc w:val="both"/>
        <w:rPr>
          <w:rFonts w:ascii="Segoe UI" w:hAnsi="Segoe UI" w:cs="Segoe UI"/>
          <w:b/>
          <w:color w:val="FF5000"/>
          <w:sz w:val="24"/>
        </w:rPr>
      </w:pPr>
      <w:r w:rsidRPr="000D0DB0">
        <w:rPr>
          <w:rFonts w:ascii="Segoe UI" w:hAnsi="Segoe UI" w:cs="Segoe UI"/>
          <w:b/>
          <w:color w:val="FF5000"/>
          <w:sz w:val="24"/>
        </w:rPr>
        <w:t xml:space="preserve">CONFERENCE CALL INVITATION – </w:t>
      </w:r>
      <w:r>
        <w:rPr>
          <w:rFonts w:ascii="Segoe UI" w:hAnsi="Segoe UI" w:cs="Segoe UI"/>
          <w:b/>
          <w:color w:val="FF5000"/>
          <w:sz w:val="24"/>
        </w:rPr>
        <w:t>Q1</w:t>
      </w:r>
      <w:r w:rsidRPr="000D0DB0">
        <w:rPr>
          <w:rFonts w:ascii="Segoe UI" w:hAnsi="Segoe UI" w:cs="Segoe UI"/>
          <w:b/>
          <w:color w:val="FF5000"/>
          <w:sz w:val="24"/>
        </w:rPr>
        <w:t xml:space="preserve"> 201</w:t>
      </w:r>
      <w:r>
        <w:rPr>
          <w:rFonts w:ascii="Segoe UI" w:hAnsi="Segoe UI" w:cs="Segoe UI"/>
          <w:b/>
          <w:color w:val="FF5000"/>
          <w:sz w:val="24"/>
        </w:rPr>
        <w:t>8</w:t>
      </w:r>
      <w:r w:rsidRPr="000D0DB0">
        <w:rPr>
          <w:rFonts w:ascii="Segoe UI" w:hAnsi="Segoe UI" w:cs="Segoe UI"/>
          <w:b/>
          <w:color w:val="FF5000"/>
          <w:sz w:val="24"/>
        </w:rPr>
        <w:t xml:space="preserve"> FINANCIAL RESULTS</w:t>
      </w:r>
    </w:p>
    <w:p w:rsidR="005A06B9" w:rsidRPr="00D77146" w:rsidRDefault="005A06B9" w:rsidP="005A06B9">
      <w:pPr>
        <w:keepNext/>
        <w:keepLines/>
        <w:tabs>
          <w:tab w:val="left" w:pos="-720"/>
          <w:tab w:val="left" w:pos="720"/>
          <w:tab w:val="left" w:pos="1440"/>
        </w:tabs>
        <w:suppressAutoHyphens/>
        <w:spacing w:after="120" w:line="276" w:lineRule="auto"/>
        <w:jc w:val="both"/>
        <w:rPr>
          <w:rFonts w:ascii="Segoe UI" w:hAnsi="Segoe UI" w:cs="Segoe UI"/>
          <w:color w:val="2E3335"/>
          <w:sz w:val="22"/>
          <w:lang w:eastAsia="el-GR"/>
        </w:rPr>
      </w:pPr>
      <w:r w:rsidRPr="00D77146">
        <w:rPr>
          <w:rFonts w:ascii="Segoe UI" w:hAnsi="Segoe UI" w:cs="Segoe UI"/>
          <w:color w:val="2E3335"/>
          <w:sz w:val="22"/>
        </w:rPr>
        <w:t>Antonios Kerastaris, Group CEO, Georgios Koliastasis, Group CFO, Nikolaos Pavlakis, Group Tax &amp; Accounting Director, Andreas Chrysos, Group Budgeting, Controlling &amp; Finance Director and Michail Tsagalakis, Capital Markets Director, will address INTRALOT’s analysts and institutional investors to present the Company’s First Quarter 2018 results, as well as to discuss the latest developments at the Company.</w:t>
      </w:r>
    </w:p>
    <w:p w:rsidR="005A06B9" w:rsidRPr="00D77146" w:rsidRDefault="005A06B9" w:rsidP="005A06B9">
      <w:pPr>
        <w:keepNext/>
        <w:keepLines/>
        <w:tabs>
          <w:tab w:val="left" w:pos="-720"/>
          <w:tab w:val="left" w:pos="720"/>
          <w:tab w:val="left" w:pos="1440"/>
        </w:tabs>
        <w:suppressAutoHyphens/>
        <w:spacing w:line="276" w:lineRule="auto"/>
        <w:jc w:val="both"/>
        <w:rPr>
          <w:rFonts w:ascii="Segoe UI" w:hAnsi="Segoe UI" w:cs="Segoe UI"/>
          <w:color w:val="2E3335"/>
          <w:sz w:val="22"/>
          <w:lang w:eastAsia="el-GR"/>
        </w:rPr>
      </w:pPr>
      <w:r w:rsidRPr="00D77146">
        <w:rPr>
          <w:rFonts w:ascii="Segoe UI" w:hAnsi="Segoe UI" w:cs="Segoe UI"/>
          <w:color w:val="2E3335"/>
          <w:sz w:val="22"/>
        </w:rPr>
        <w:t>The financial results will be released on the ATHEX website (www.helex.gr), and will be posted on the company’s website (www.intralot.com) on Thursday 31</w:t>
      </w:r>
      <w:r w:rsidRPr="00D77146">
        <w:rPr>
          <w:rFonts w:ascii="Segoe UI" w:hAnsi="Segoe UI" w:cs="Segoe UI"/>
          <w:color w:val="2E3335"/>
          <w:sz w:val="22"/>
          <w:vertAlign w:val="superscript"/>
        </w:rPr>
        <w:t>st</w:t>
      </w:r>
      <w:r w:rsidRPr="00D77146">
        <w:rPr>
          <w:rFonts w:ascii="Segoe UI" w:hAnsi="Segoe UI" w:cs="Segoe UI"/>
          <w:color w:val="2E3335"/>
          <w:sz w:val="22"/>
        </w:rPr>
        <w:t xml:space="preserve"> May 2018.</w:t>
      </w:r>
    </w:p>
    <w:p w:rsidR="005A06B9" w:rsidRPr="00D77146" w:rsidRDefault="005A06B9" w:rsidP="005A06B9">
      <w:pPr>
        <w:keepNext/>
        <w:keepLines/>
        <w:tabs>
          <w:tab w:val="left" w:pos="-720"/>
          <w:tab w:val="left" w:pos="720"/>
          <w:tab w:val="left" w:pos="1440"/>
        </w:tabs>
        <w:suppressAutoHyphens/>
        <w:spacing w:line="276" w:lineRule="auto"/>
        <w:ind w:firstLine="720"/>
        <w:jc w:val="both"/>
        <w:rPr>
          <w:rFonts w:ascii="Segoe UI" w:hAnsi="Segoe UI" w:cs="Segoe UI"/>
          <w:color w:val="2E3335"/>
          <w:sz w:val="10"/>
          <w:szCs w:val="10"/>
        </w:rPr>
      </w:pPr>
    </w:p>
    <w:p w:rsidR="005A06B9" w:rsidRPr="00D77146" w:rsidRDefault="005A06B9" w:rsidP="005A06B9">
      <w:pPr>
        <w:keepNext/>
        <w:keepLines/>
        <w:tabs>
          <w:tab w:val="left" w:pos="-720"/>
          <w:tab w:val="left" w:pos="0"/>
          <w:tab w:val="left" w:pos="720"/>
          <w:tab w:val="left" w:pos="1440"/>
        </w:tabs>
        <w:suppressAutoHyphens/>
        <w:spacing w:after="240"/>
        <w:rPr>
          <w:rFonts w:ascii="Segoe UI" w:hAnsi="Segoe UI" w:cs="Segoe UI"/>
          <w:b/>
          <w:bCs/>
          <w:color w:val="2E3335"/>
          <w:sz w:val="28"/>
          <w:szCs w:val="18"/>
        </w:rPr>
      </w:pPr>
      <w:r w:rsidRPr="00D77146">
        <w:rPr>
          <w:rFonts w:ascii="Segoe UI" w:hAnsi="Segoe UI" w:cs="Segoe UI"/>
          <w:b/>
          <w:bCs/>
          <w:iCs/>
          <w:color w:val="2E3335"/>
          <w:szCs w:val="18"/>
        </w:rPr>
        <w:t>AGENDA: Brief Presentation - Question and Answer Session</w:t>
      </w:r>
    </w:p>
    <w:p w:rsidR="005A06B9" w:rsidRPr="00D77146" w:rsidRDefault="005A06B9" w:rsidP="005A06B9">
      <w:pPr>
        <w:keepNext/>
        <w:keepLines/>
        <w:tabs>
          <w:tab w:val="left" w:pos="-720"/>
          <w:tab w:val="left" w:pos="0"/>
          <w:tab w:val="left" w:pos="720"/>
          <w:tab w:val="left" w:pos="1440"/>
        </w:tabs>
        <w:suppressAutoHyphens/>
        <w:spacing w:after="240"/>
        <w:rPr>
          <w:rFonts w:ascii="Segoe UI" w:hAnsi="Segoe UI" w:cs="Segoe UI"/>
          <w:b/>
          <w:bCs/>
          <w:iCs/>
          <w:color w:val="2E3335"/>
          <w:szCs w:val="18"/>
        </w:rPr>
      </w:pPr>
      <w:r w:rsidRPr="00D77146">
        <w:rPr>
          <w:rFonts w:ascii="Segoe UI" w:hAnsi="Segoe UI" w:cs="Segoe UI"/>
          <w:b/>
          <w:bCs/>
          <w:i/>
          <w:iCs/>
          <w:color w:val="2E3335"/>
          <w:sz w:val="4"/>
          <w:szCs w:val="18"/>
        </w:rPr>
        <w:br/>
      </w:r>
      <w:r w:rsidRPr="00D77146">
        <w:rPr>
          <w:rFonts w:ascii="Segoe UI" w:hAnsi="Segoe UI" w:cs="Segoe UI"/>
          <w:b/>
          <w:bCs/>
          <w:iCs/>
          <w:color w:val="2E3335"/>
          <w:szCs w:val="18"/>
        </w:rPr>
        <w:t>CONFERENCE CALL DETAILS</w:t>
      </w:r>
    </w:p>
    <w:tbl>
      <w:tblPr>
        <w:tblW w:w="9963" w:type="dxa"/>
        <w:jc w:val="center"/>
        <w:tblLayout w:type="fixed"/>
        <w:tblCellMar>
          <w:left w:w="72" w:type="dxa"/>
          <w:right w:w="72" w:type="dxa"/>
        </w:tblCellMar>
        <w:tblLook w:val="0000" w:firstRow="0" w:lastRow="0" w:firstColumn="0" w:lastColumn="0" w:noHBand="0" w:noVBand="0"/>
      </w:tblPr>
      <w:tblGrid>
        <w:gridCol w:w="5069"/>
        <w:gridCol w:w="4894"/>
      </w:tblGrid>
      <w:tr w:rsidR="005A06B9" w:rsidRPr="00E64BC4" w:rsidTr="009C10C4">
        <w:trPr>
          <w:cantSplit/>
          <w:trHeight w:val="735"/>
          <w:jc w:val="center"/>
        </w:trPr>
        <w:tc>
          <w:tcPr>
            <w:tcW w:w="9963" w:type="dxa"/>
            <w:gridSpan w:val="2"/>
            <w:tcBorders>
              <w:top w:val="dotted" w:sz="4" w:space="0" w:color="404040"/>
              <w:left w:val="dotted" w:sz="4" w:space="0" w:color="404040"/>
              <w:right w:val="dotted" w:sz="4" w:space="0" w:color="404040"/>
            </w:tcBorders>
            <w:shd w:val="clear" w:color="auto" w:fill="FF5000"/>
            <w:vAlign w:val="center"/>
          </w:tcPr>
          <w:p w:rsidR="005A06B9" w:rsidRPr="00EA525D" w:rsidRDefault="005A06B9" w:rsidP="009C10C4">
            <w:pPr>
              <w:spacing w:line="360" w:lineRule="auto"/>
              <w:jc w:val="center"/>
              <w:rPr>
                <w:rFonts w:ascii="Segoe UI" w:hAnsi="Segoe UI" w:cs="Segoe UI"/>
                <w:b/>
                <w:bCs/>
                <w:color w:val="FFFFFF"/>
                <w:sz w:val="22"/>
              </w:rPr>
            </w:pPr>
            <w:r w:rsidRPr="00EA525D">
              <w:rPr>
                <w:rFonts w:ascii="Segoe UI" w:hAnsi="Segoe UI" w:cs="Segoe UI"/>
                <w:b/>
                <w:bCs/>
                <w:color w:val="FFFFFF"/>
                <w:sz w:val="22"/>
              </w:rPr>
              <w:t xml:space="preserve">Date: </w:t>
            </w:r>
            <w:r>
              <w:rPr>
                <w:rFonts w:ascii="Segoe UI" w:hAnsi="Segoe UI" w:cs="Segoe UI"/>
                <w:b/>
                <w:bCs/>
                <w:color w:val="FFFFFF"/>
                <w:sz w:val="22"/>
              </w:rPr>
              <w:t>Friday</w:t>
            </w:r>
            <w:r w:rsidRPr="00037A79">
              <w:rPr>
                <w:rFonts w:ascii="Segoe UI" w:hAnsi="Segoe UI" w:cs="Segoe UI"/>
                <w:b/>
                <w:bCs/>
                <w:color w:val="FFFFFF"/>
                <w:sz w:val="22"/>
              </w:rPr>
              <w:t xml:space="preserve">, </w:t>
            </w:r>
            <w:r>
              <w:rPr>
                <w:rFonts w:ascii="Segoe UI" w:hAnsi="Segoe UI" w:cs="Segoe UI"/>
                <w:b/>
                <w:bCs/>
                <w:color w:val="FFFFFF"/>
                <w:sz w:val="22"/>
              </w:rPr>
              <w:t>1</w:t>
            </w:r>
            <w:r w:rsidRPr="00037A79">
              <w:rPr>
                <w:rFonts w:ascii="Segoe UI" w:hAnsi="Segoe UI" w:cs="Segoe UI"/>
                <w:b/>
                <w:bCs/>
                <w:color w:val="FFFFFF"/>
                <w:sz w:val="22"/>
                <w:vertAlign w:val="superscript"/>
              </w:rPr>
              <w:t>st</w:t>
            </w:r>
            <w:r w:rsidRPr="00037A79">
              <w:rPr>
                <w:rFonts w:ascii="Segoe UI" w:hAnsi="Segoe UI" w:cs="Segoe UI"/>
                <w:b/>
                <w:bCs/>
                <w:color w:val="FFFFFF"/>
                <w:sz w:val="22"/>
              </w:rPr>
              <w:t xml:space="preserve"> </w:t>
            </w:r>
            <w:r>
              <w:rPr>
                <w:rFonts w:ascii="Segoe UI" w:hAnsi="Segoe UI" w:cs="Segoe UI"/>
                <w:b/>
                <w:bCs/>
                <w:color w:val="FFFFFF"/>
                <w:sz w:val="22"/>
              </w:rPr>
              <w:t>June</w:t>
            </w:r>
            <w:r w:rsidRPr="00037A79">
              <w:rPr>
                <w:rFonts w:ascii="Segoe UI" w:hAnsi="Segoe UI" w:cs="Segoe UI"/>
                <w:b/>
                <w:bCs/>
                <w:color w:val="FFFFFF"/>
                <w:sz w:val="22"/>
              </w:rPr>
              <w:t xml:space="preserve"> 2018</w:t>
            </w:r>
          </w:p>
          <w:p w:rsidR="005A06B9" w:rsidRPr="004C6AFD" w:rsidRDefault="005A06B9" w:rsidP="009C10C4">
            <w:pPr>
              <w:spacing w:line="360" w:lineRule="auto"/>
              <w:jc w:val="center"/>
              <w:rPr>
                <w:rFonts w:ascii="Segoe UI" w:hAnsi="Segoe UI" w:cs="Segoe UI"/>
                <w:b/>
                <w:bCs/>
                <w:color w:val="FFFFFF"/>
                <w:sz w:val="22"/>
                <w:szCs w:val="18"/>
              </w:rPr>
            </w:pPr>
            <w:r w:rsidRPr="00EA525D">
              <w:rPr>
                <w:rFonts w:ascii="Segoe UI" w:hAnsi="Segoe UI" w:cs="Segoe UI"/>
                <w:b/>
                <w:bCs/>
                <w:color w:val="FFFFFF"/>
                <w:sz w:val="22"/>
              </w:rPr>
              <w:t>Time: Greek time 17:00 - UK time 15:00 - CET 16:00 - USA time 10:00 (East Coast Line)</w:t>
            </w:r>
          </w:p>
        </w:tc>
      </w:tr>
      <w:tr w:rsidR="00D77146" w:rsidRPr="00D77146" w:rsidTr="009C10C4">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rsidR="005A06B9" w:rsidRPr="00D77146" w:rsidRDefault="005A06B9" w:rsidP="009C10C4">
            <w:pPr>
              <w:jc w:val="right"/>
              <w:rPr>
                <w:rFonts w:ascii="Segoe UI" w:hAnsi="Segoe UI" w:cs="Segoe UI"/>
                <w:b/>
                <w:color w:val="2E3335"/>
                <w:sz w:val="22"/>
                <w:szCs w:val="18"/>
              </w:rPr>
            </w:pPr>
            <w:r w:rsidRPr="00D77146">
              <w:rPr>
                <w:rFonts w:ascii="Segoe UI" w:hAnsi="Segoe UI" w:cs="Segoe UI"/>
                <w:color w:val="2E3335"/>
                <w:sz w:val="22"/>
                <w:szCs w:val="18"/>
              </w:rPr>
              <w:t>Conference Phone GR</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rsidR="005A06B9" w:rsidRPr="00D77146" w:rsidRDefault="005A06B9" w:rsidP="009C10C4">
            <w:pPr>
              <w:ind w:left="72"/>
              <w:rPr>
                <w:rFonts w:ascii="Segoe UI" w:hAnsi="Segoe UI" w:cs="Segoe UI"/>
                <w:b/>
                <w:color w:val="2E3335"/>
                <w:sz w:val="22"/>
                <w:szCs w:val="18"/>
              </w:rPr>
            </w:pPr>
            <w:r w:rsidRPr="00D77146">
              <w:rPr>
                <w:noProof/>
                <w:color w:val="2E3335"/>
              </w:rPr>
              <w:drawing>
                <wp:inline distT="0" distB="0" distL="0" distR="0" wp14:anchorId="6A12B533" wp14:editId="6ABE437C">
                  <wp:extent cx="233680" cy="15938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r w:rsidRPr="00D77146">
              <w:rPr>
                <w:color w:val="2E3335"/>
              </w:rPr>
              <w:t xml:space="preserve"> </w:t>
            </w:r>
            <w:r w:rsidRPr="00D77146">
              <w:rPr>
                <w:rFonts w:ascii="Segoe UI" w:hAnsi="Segoe UI" w:cs="Segoe UI"/>
                <w:b/>
                <w:color w:val="2E3335"/>
                <w:sz w:val="22"/>
                <w:szCs w:val="18"/>
              </w:rPr>
              <w:t>+ 30 211 180 2000</w:t>
            </w:r>
          </w:p>
        </w:tc>
      </w:tr>
      <w:tr w:rsidR="00D77146" w:rsidRPr="00D77146" w:rsidTr="009C10C4">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E8E8E8"/>
            <w:vAlign w:val="center"/>
          </w:tcPr>
          <w:p w:rsidR="005A06B9" w:rsidRPr="00D77146" w:rsidRDefault="005A06B9" w:rsidP="009C10C4">
            <w:pPr>
              <w:jc w:val="right"/>
              <w:rPr>
                <w:rFonts w:ascii="Segoe UI" w:hAnsi="Segoe UI" w:cs="Segoe UI"/>
                <w:color w:val="2E3335"/>
                <w:sz w:val="22"/>
                <w:szCs w:val="18"/>
              </w:rPr>
            </w:pPr>
            <w:r w:rsidRPr="00D77146">
              <w:rPr>
                <w:rFonts w:ascii="Segoe UI" w:hAnsi="Segoe UI" w:cs="Segoe UI"/>
                <w:color w:val="2E3335"/>
                <w:sz w:val="22"/>
                <w:szCs w:val="18"/>
              </w:rPr>
              <w:t>Conference Phone GR</w:t>
            </w:r>
          </w:p>
        </w:tc>
        <w:tc>
          <w:tcPr>
            <w:tcW w:w="4894" w:type="dxa"/>
            <w:tcBorders>
              <w:top w:val="dotted" w:sz="4" w:space="0" w:color="404040"/>
              <w:left w:val="dotted" w:sz="4" w:space="0" w:color="404040"/>
              <w:bottom w:val="dotted" w:sz="4" w:space="0" w:color="404040"/>
              <w:right w:val="dotted" w:sz="4" w:space="0" w:color="404040"/>
            </w:tcBorders>
            <w:shd w:val="clear" w:color="auto" w:fill="E8E8E8"/>
            <w:vAlign w:val="bottom"/>
          </w:tcPr>
          <w:p w:rsidR="005A06B9" w:rsidRPr="00D77146" w:rsidRDefault="005A06B9" w:rsidP="009C10C4">
            <w:pPr>
              <w:ind w:left="72"/>
              <w:rPr>
                <w:rFonts w:ascii="Segoe UI" w:hAnsi="Segoe UI" w:cs="Segoe UI"/>
                <w:b/>
                <w:color w:val="2E3335"/>
                <w:sz w:val="22"/>
                <w:szCs w:val="18"/>
              </w:rPr>
            </w:pPr>
            <w:r w:rsidRPr="00D77146">
              <w:rPr>
                <w:noProof/>
                <w:color w:val="2E3335"/>
              </w:rPr>
              <w:drawing>
                <wp:inline distT="0" distB="0" distL="0" distR="0" wp14:anchorId="202FE3B6" wp14:editId="683F73AA">
                  <wp:extent cx="233680" cy="1593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r w:rsidRPr="00D77146">
              <w:rPr>
                <w:color w:val="2E3335"/>
              </w:rPr>
              <w:t xml:space="preserve"> </w:t>
            </w:r>
            <w:r w:rsidRPr="00D77146">
              <w:rPr>
                <w:rFonts w:ascii="Segoe UI" w:hAnsi="Segoe UI" w:cs="Segoe UI"/>
                <w:b/>
                <w:color w:val="2E3335"/>
                <w:sz w:val="22"/>
                <w:szCs w:val="18"/>
              </w:rPr>
              <w:t>+ 30 210 94 60 800</w:t>
            </w:r>
          </w:p>
        </w:tc>
      </w:tr>
      <w:tr w:rsidR="00D77146" w:rsidRPr="00D77146" w:rsidTr="009C10C4">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rsidR="005A06B9" w:rsidRPr="00D77146" w:rsidRDefault="005A06B9" w:rsidP="009C10C4">
            <w:pPr>
              <w:jc w:val="right"/>
              <w:rPr>
                <w:rFonts w:ascii="Segoe UI" w:hAnsi="Segoe UI" w:cs="Segoe UI"/>
                <w:color w:val="2E3335"/>
                <w:sz w:val="22"/>
                <w:szCs w:val="18"/>
                <w:lang w:val="el-GR"/>
              </w:rPr>
            </w:pPr>
            <w:r w:rsidRPr="00D77146">
              <w:rPr>
                <w:rFonts w:ascii="Segoe UI" w:hAnsi="Segoe UI" w:cs="Segoe UI"/>
                <w:color w:val="2E3335"/>
                <w:sz w:val="22"/>
                <w:szCs w:val="18"/>
              </w:rPr>
              <w:t>Conference Phone G</w:t>
            </w:r>
            <w:r w:rsidRPr="00D77146">
              <w:rPr>
                <w:rFonts w:ascii="Segoe UI" w:hAnsi="Segoe UI" w:cs="Segoe UI"/>
                <w:color w:val="2E3335"/>
                <w:sz w:val="22"/>
                <w:szCs w:val="18"/>
                <w:lang w:val="el-GR"/>
              </w:rPr>
              <w:t>B</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rsidR="005A06B9" w:rsidRPr="00D77146" w:rsidRDefault="005A06B9" w:rsidP="009C10C4">
            <w:pPr>
              <w:ind w:left="72"/>
              <w:rPr>
                <w:rFonts w:ascii="Segoe UI" w:hAnsi="Segoe UI" w:cs="Segoe UI"/>
                <w:b/>
                <w:color w:val="2E3335"/>
                <w:sz w:val="22"/>
                <w:szCs w:val="18"/>
              </w:rPr>
            </w:pPr>
            <w:r w:rsidRPr="00D77146">
              <w:rPr>
                <w:noProof/>
                <w:color w:val="2E3335"/>
              </w:rPr>
              <w:drawing>
                <wp:inline distT="0" distB="0" distL="0" distR="0" wp14:anchorId="65452396" wp14:editId="287321BD">
                  <wp:extent cx="244475" cy="159385"/>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D77146">
              <w:rPr>
                <w:noProof/>
                <w:color w:val="2E3335"/>
              </w:rPr>
              <w:t xml:space="preserve"> </w:t>
            </w:r>
            <w:r w:rsidRPr="00D77146">
              <w:rPr>
                <w:rFonts w:ascii="Segoe UI" w:hAnsi="Segoe UI" w:cs="Segoe UI"/>
                <w:b/>
                <w:color w:val="2E3335"/>
                <w:sz w:val="22"/>
                <w:szCs w:val="18"/>
              </w:rPr>
              <w:t>+ 44 (0) 203 059 5872</w:t>
            </w:r>
          </w:p>
        </w:tc>
      </w:tr>
      <w:tr w:rsidR="00D77146" w:rsidRPr="00D77146" w:rsidTr="009C10C4">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E8E8E8"/>
            <w:vAlign w:val="center"/>
          </w:tcPr>
          <w:p w:rsidR="005A06B9" w:rsidRPr="00D77146" w:rsidRDefault="005A06B9" w:rsidP="009C10C4">
            <w:pPr>
              <w:jc w:val="right"/>
              <w:rPr>
                <w:rFonts w:ascii="Segoe UI" w:hAnsi="Segoe UI" w:cs="Segoe UI"/>
                <w:color w:val="2E3335"/>
                <w:sz w:val="22"/>
                <w:szCs w:val="18"/>
              </w:rPr>
            </w:pPr>
            <w:r w:rsidRPr="00D77146">
              <w:rPr>
                <w:rFonts w:ascii="Segoe UI" w:hAnsi="Segoe UI" w:cs="Segoe UI"/>
                <w:color w:val="2E3335"/>
                <w:sz w:val="22"/>
                <w:szCs w:val="18"/>
              </w:rPr>
              <w:t>Conference Phone GB</w:t>
            </w:r>
          </w:p>
        </w:tc>
        <w:tc>
          <w:tcPr>
            <w:tcW w:w="4894" w:type="dxa"/>
            <w:tcBorders>
              <w:top w:val="dotted" w:sz="4" w:space="0" w:color="404040"/>
              <w:left w:val="dotted" w:sz="4" w:space="0" w:color="404040"/>
              <w:bottom w:val="dotted" w:sz="4" w:space="0" w:color="404040"/>
              <w:right w:val="dotted" w:sz="4" w:space="0" w:color="404040"/>
            </w:tcBorders>
            <w:shd w:val="clear" w:color="auto" w:fill="E8E8E8"/>
            <w:vAlign w:val="bottom"/>
          </w:tcPr>
          <w:p w:rsidR="005A06B9" w:rsidRPr="00D77146" w:rsidRDefault="005A06B9" w:rsidP="009C10C4">
            <w:pPr>
              <w:ind w:left="72"/>
              <w:rPr>
                <w:rFonts w:ascii="Segoe UI" w:hAnsi="Segoe UI" w:cs="Segoe UI"/>
                <w:b/>
                <w:color w:val="2E3335"/>
                <w:sz w:val="22"/>
                <w:szCs w:val="18"/>
              </w:rPr>
            </w:pPr>
            <w:r w:rsidRPr="00D77146">
              <w:rPr>
                <w:noProof/>
                <w:color w:val="2E3335"/>
              </w:rPr>
              <w:drawing>
                <wp:inline distT="0" distB="0" distL="0" distR="0" wp14:anchorId="63E206E1" wp14:editId="712EE0EB">
                  <wp:extent cx="244475" cy="159385"/>
                  <wp:effectExtent l="0" t="0" r="317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D77146">
              <w:rPr>
                <w:noProof/>
                <w:color w:val="2E3335"/>
              </w:rPr>
              <w:t xml:space="preserve"> </w:t>
            </w:r>
            <w:r w:rsidRPr="00D77146">
              <w:rPr>
                <w:rFonts w:ascii="Segoe UI" w:hAnsi="Segoe UI" w:cs="Segoe UI"/>
                <w:b/>
                <w:color w:val="2E3335"/>
                <w:sz w:val="22"/>
                <w:szCs w:val="18"/>
              </w:rPr>
              <w:t>+ 44 (0) 800 368 1063</w:t>
            </w:r>
          </w:p>
        </w:tc>
      </w:tr>
      <w:tr w:rsidR="00D77146" w:rsidRPr="00D77146" w:rsidTr="009C10C4">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rsidR="005A06B9" w:rsidRPr="00D77146" w:rsidRDefault="005A06B9" w:rsidP="009C10C4">
            <w:pPr>
              <w:jc w:val="right"/>
              <w:rPr>
                <w:rFonts w:ascii="Segoe UI" w:hAnsi="Segoe UI" w:cs="Segoe UI"/>
                <w:color w:val="2E3335"/>
                <w:sz w:val="22"/>
                <w:szCs w:val="18"/>
              </w:rPr>
            </w:pPr>
            <w:r w:rsidRPr="00D77146">
              <w:rPr>
                <w:rFonts w:ascii="Segoe UI" w:hAnsi="Segoe UI" w:cs="Segoe UI"/>
                <w:color w:val="2E3335"/>
                <w:sz w:val="22"/>
                <w:szCs w:val="18"/>
              </w:rPr>
              <w:t>Conference Phone US</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rsidR="005A06B9" w:rsidRPr="00D77146" w:rsidRDefault="005A06B9" w:rsidP="009C10C4">
            <w:pPr>
              <w:ind w:left="72"/>
              <w:rPr>
                <w:rFonts w:ascii="Segoe UI" w:hAnsi="Segoe UI" w:cs="Segoe UI"/>
                <w:b/>
                <w:color w:val="2E3335"/>
                <w:sz w:val="22"/>
                <w:szCs w:val="18"/>
              </w:rPr>
            </w:pPr>
            <w:r w:rsidRPr="00D77146">
              <w:rPr>
                <w:noProof/>
                <w:color w:val="2E3335"/>
              </w:rPr>
              <w:drawing>
                <wp:inline distT="0" distB="0" distL="0" distR="0" wp14:anchorId="2E7788E4" wp14:editId="3ACB4D7F">
                  <wp:extent cx="233680" cy="14859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Pr="00D77146">
              <w:rPr>
                <w:noProof/>
                <w:color w:val="2E3335"/>
              </w:rPr>
              <w:t xml:space="preserve"> </w:t>
            </w:r>
            <w:r w:rsidRPr="00D77146">
              <w:rPr>
                <w:rFonts w:ascii="Segoe UI" w:hAnsi="Segoe UI" w:cs="Segoe UI"/>
                <w:b/>
                <w:color w:val="2E3335"/>
                <w:sz w:val="22"/>
                <w:szCs w:val="18"/>
              </w:rPr>
              <w:t>+ 1 516 447 5632</w:t>
            </w:r>
          </w:p>
        </w:tc>
      </w:tr>
      <w:tr w:rsidR="00D77146" w:rsidRPr="00D77146" w:rsidTr="009C10C4">
        <w:trPr>
          <w:cantSplit/>
          <w:trHeight w:val="565"/>
          <w:jc w:val="center"/>
        </w:trPr>
        <w:tc>
          <w:tcPr>
            <w:tcW w:w="9963" w:type="dxa"/>
            <w:gridSpan w:val="2"/>
            <w:tcBorders>
              <w:top w:val="dotted" w:sz="4" w:space="0" w:color="404040"/>
              <w:left w:val="dotted" w:sz="4" w:space="0" w:color="404040"/>
              <w:bottom w:val="dotted" w:sz="4" w:space="0" w:color="404040"/>
              <w:right w:val="dotted" w:sz="4" w:space="0" w:color="404040"/>
            </w:tcBorders>
            <w:shd w:val="clear" w:color="auto" w:fill="FFFFFF"/>
            <w:vAlign w:val="center"/>
          </w:tcPr>
          <w:p w:rsidR="005A06B9" w:rsidRPr="00D77146" w:rsidRDefault="005A06B9" w:rsidP="009C10C4">
            <w:pPr>
              <w:jc w:val="center"/>
              <w:rPr>
                <w:rFonts w:ascii="Segoe UI" w:hAnsi="Segoe UI" w:cs="Segoe UI"/>
                <w:b/>
                <w:color w:val="2E3335"/>
                <w:sz w:val="22"/>
                <w:szCs w:val="18"/>
              </w:rPr>
            </w:pPr>
            <w:r w:rsidRPr="00D77146">
              <w:rPr>
                <w:rFonts w:ascii="Segoe UI" w:hAnsi="Segoe UI" w:cs="Segoe UI"/>
                <w:b/>
                <w:color w:val="2E3335"/>
                <w:sz w:val="22"/>
                <w:szCs w:val="18"/>
              </w:rPr>
              <w:t>We recommend that you call any of the above numbers 5 to 10 minutes before</w:t>
            </w:r>
            <w:r w:rsidRPr="00D77146">
              <w:rPr>
                <w:rFonts w:ascii="Segoe UI" w:hAnsi="Segoe UI" w:cs="Segoe UI"/>
                <w:b/>
                <w:color w:val="2E3335"/>
                <w:sz w:val="22"/>
                <w:szCs w:val="18"/>
              </w:rPr>
              <w:br/>
              <w:t>the conference call is scheduled to start.</w:t>
            </w:r>
          </w:p>
        </w:tc>
      </w:tr>
    </w:tbl>
    <w:p w:rsidR="005A06B9" w:rsidRPr="00D77146" w:rsidRDefault="005A06B9" w:rsidP="005A06B9">
      <w:pPr>
        <w:keepNext/>
        <w:keepLines/>
        <w:tabs>
          <w:tab w:val="left" w:pos="-720"/>
          <w:tab w:val="left" w:pos="720"/>
          <w:tab w:val="left" w:pos="1440"/>
        </w:tabs>
        <w:suppressAutoHyphens/>
        <w:spacing w:after="240"/>
        <w:rPr>
          <w:rFonts w:ascii="Segoe UI" w:hAnsi="Segoe UI" w:cs="Segoe UI"/>
          <w:b/>
          <w:bCs/>
          <w:i/>
          <w:color w:val="2E3335"/>
          <w:sz w:val="14"/>
          <w:szCs w:val="10"/>
        </w:rPr>
      </w:pPr>
    </w:p>
    <w:p w:rsidR="005A06B9" w:rsidRPr="00D77146" w:rsidRDefault="005A06B9" w:rsidP="005A06B9">
      <w:pPr>
        <w:tabs>
          <w:tab w:val="center" w:pos="426"/>
          <w:tab w:val="right" w:pos="8306"/>
        </w:tabs>
        <w:jc w:val="both"/>
        <w:rPr>
          <w:rFonts w:ascii="Segoe UI" w:hAnsi="Segoe UI" w:cs="Segoe UI"/>
          <w:b/>
          <w:bCs/>
          <w:iCs/>
          <w:color w:val="2E3335"/>
          <w:sz w:val="10"/>
          <w:szCs w:val="10"/>
        </w:rPr>
      </w:pPr>
      <w:r w:rsidRPr="00D77146">
        <w:rPr>
          <w:rFonts w:ascii="Segoe UI" w:hAnsi="Segoe UI" w:cs="Segoe UI"/>
          <w:b/>
          <w:bCs/>
          <w:iCs/>
          <w:color w:val="2E3335"/>
          <w:szCs w:val="18"/>
        </w:rPr>
        <w:t>LIVE WEBCAST DETAILS</w:t>
      </w:r>
    </w:p>
    <w:p w:rsidR="005A06B9" w:rsidRPr="00D77146" w:rsidRDefault="005A06B9" w:rsidP="005A06B9">
      <w:pPr>
        <w:tabs>
          <w:tab w:val="left" w:pos="-720"/>
        </w:tabs>
        <w:suppressAutoHyphens/>
        <w:spacing w:after="240"/>
        <w:jc w:val="both"/>
        <w:rPr>
          <w:rFonts w:ascii="Segoe UI" w:hAnsi="Segoe UI" w:cs="Segoe UI"/>
          <w:b/>
          <w:bCs/>
          <w:iCs/>
          <w:color w:val="2E3335"/>
          <w:sz w:val="32"/>
          <w:szCs w:val="18"/>
        </w:rPr>
      </w:pPr>
      <w:r w:rsidRPr="00D77146">
        <w:rPr>
          <w:rFonts w:ascii="Segoe UI" w:hAnsi="Segoe UI" w:cs="Segoe UI"/>
          <w:color w:val="2E3335"/>
          <w:sz w:val="10"/>
          <w:szCs w:val="10"/>
        </w:rPr>
        <w:br/>
      </w:r>
      <w:r w:rsidRPr="00D77146">
        <w:rPr>
          <w:rFonts w:ascii="Segoe UI" w:hAnsi="Segoe UI" w:cs="Segoe UI"/>
          <w:color w:val="2E3335"/>
          <w:sz w:val="22"/>
          <w:lang w:eastAsia="el-GR"/>
        </w:rPr>
        <w:t>The conference call will be available via webcast in real time over the Internet and you may join by linking at the internet site:</w:t>
      </w:r>
      <w:r w:rsidRPr="00D77146">
        <w:rPr>
          <w:rFonts w:ascii="Segoe UI" w:hAnsi="Segoe UI" w:cs="Segoe UI"/>
          <w:color w:val="2E3335"/>
          <w:sz w:val="18"/>
          <w:szCs w:val="18"/>
        </w:rPr>
        <w:t xml:space="preserve">  </w:t>
      </w:r>
    </w:p>
    <w:p w:rsidR="005A06B9" w:rsidRPr="00EA525D" w:rsidRDefault="00715B59" w:rsidP="005A06B9">
      <w:pPr>
        <w:tabs>
          <w:tab w:val="left" w:pos="-720"/>
        </w:tabs>
        <w:suppressAutoHyphens/>
        <w:spacing w:after="240"/>
        <w:jc w:val="center"/>
        <w:rPr>
          <w:rFonts w:ascii="Segoe UI" w:hAnsi="Segoe UI" w:cs="Segoe UI"/>
          <w:b/>
          <w:color w:val="FF5000"/>
          <w:sz w:val="22"/>
          <w:szCs w:val="18"/>
          <w:u w:val="single"/>
        </w:rPr>
      </w:pPr>
      <w:hyperlink r:id="rId22" w:history="1">
        <w:r w:rsidR="005A06B9" w:rsidRPr="00EA525D">
          <w:rPr>
            <w:rFonts w:ascii="Segoe UI" w:hAnsi="Segoe UI" w:cs="Segoe UI"/>
            <w:b/>
            <w:color w:val="FF5000"/>
            <w:sz w:val="22"/>
            <w:u w:val="single"/>
          </w:rPr>
          <w:t>https://services.choruscall.eu/links/intralot18Q1.html</w:t>
        </w:r>
      </w:hyperlink>
    </w:p>
    <w:p w:rsidR="005A06B9" w:rsidRPr="00D77146" w:rsidRDefault="005A06B9" w:rsidP="005A06B9">
      <w:pPr>
        <w:tabs>
          <w:tab w:val="center" w:pos="426"/>
          <w:tab w:val="right" w:pos="8306"/>
        </w:tabs>
        <w:jc w:val="both"/>
        <w:rPr>
          <w:rFonts w:ascii="Segoe UI" w:hAnsi="Segoe UI" w:cs="Segoe UI"/>
          <w:b/>
          <w:bCs/>
          <w:iCs/>
          <w:color w:val="2E3335"/>
          <w:szCs w:val="18"/>
        </w:rPr>
      </w:pPr>
      <w:r w:rsidRPr="00D77146">
        <w:rPr>
          <w:rFonts w:ascii="Segoe UI" w:hAnsi="Segoe UI" w:cs="Segoe UI"/>
          <w:b/>
          <w:bCs/>
          <w:iCs/>
          <w:color w:val="2E3335"/>
          <w:szCs w:val="18"/>
        </w:rPr>
        <w:t>DIGITAL PLAYBACK</w:t>
      </w:r>
    </w:p>
    <w:p w:rsidR="005A06B9" w:rsidRPr="00D77146" w:rsidRDefault="005A06B9" w:rsidP="005A06B9">
      <w:pPr>
        <w:tabs>
          <w:tab w:val="center" w:pos="426"/>
          <w:tab w:val="right" w:pos="8306"/>
        </w:tabs>
        <w:jc w:val="both"/>
        <w:rPr>
          <w:rFonts w:ascii="Segoe UI" w:hAnsi="Segoe UI" w:cs="Segoe UI"/>
          <w:b/>
          <w:bCs/>
          <w:iCs/>
          <w:color w:val="2E3335"/>
          <w:sz w:val="10"/>
          <w:szCs w:val="10"/>
        </w:rPr>
      </w:pPr>
    </w:p>
    <w:p w:rsidR="005A06B9" w:rsidRPr="00D77146" w:rsidRDefault="005A06B9" w:rsidP="005A06B9">
      <w:pPr>
        <w:tabs>
          <w:tab w:val="center" w:pos="426"/>
          <w:tab w:val="center" w:pos="4513"/>
          <w:tab w:val="right" w:pos="8306"/>
          <w:tab w:val="right" w:pos="9026"/>
        </w:tabs>
        <w:jc w:val="both"/>
        <w:rPr>
          <w:rFonts w:ascii="Segoe UI" w:hAnsi="Segoe UI" w:cs="Segoe UI"/>
          <w:color w:val="2E3335"/>
          <w:sz w:val="22"/>
        </w:rPr>
      </w:pPr>
      <w:r w:rsidRPr="00D77146">
        <w:rPr>
          <w:rFonts w:ascii="Segoe UI" w:hAnsi="Segoe UI" w:cs="Segoe UI"/>
          <w:color w:val="2E3335"/>
          <w:sz w:val="18"/>
          <w:szCs w:val="18"/>
        </w:rPr>
        <w:tab/>
      </w:r>
      <w:r w:rsidRPr="00D77146">
        <w:rPr>
          <w:rFonts w:ascii="Segoe UI" w:hAnsi="Segoe UI" w:cs="Segoe UI"/>
          <w:color w:val="2E3335"/>
          <w:sz w:val="22"/>
        </w:rPr>
        <w:t>There will be a digital playback on the 1</w:t>
      </w:r>
      <w:r w:rsidRPr="00D77146">
        <w:rPr>
          <w:rFonts w:ascii="Segoe UI" w:hAnsi="Segoe UI" w:cs="Segoe UI"/>
          <w:color w:val="2E3335"/>
          <w:sz w:val="22"/>
          <w:vertAlign w:val="superscript"/>
        </w:rPr>
        <w:t>st</w:t>
      </w:r>
      <w:r w:rsidRPr="00D77146">
        <w:rPr>
          <w:rFonts w:ascii="Segoe UI" w:hAnsi="Segoe UI" w:cs="Segoe UI"/>
          <w:color w:val="2E3335"/>
          <w:sz w:val="22"/>
        </w:rPr>
        <w:t xml:space="preserve"> June 2018 at 19:00 (GR Time).</w:t>
      </w:r>
    </w:p>
    <w:p w:rsidR="005A06B9" w:rsidRPr="00D77146" w:rsidRDefault="005A06B9" w:rsidP="005A06B9">
      <w:pPr>
        <w:tabs>
          <w:tab w:val="center" w:pos="426"/>
          <w:tab w:val="center" w:pos="4513"/>
          <w:tab w:val="right" w:pos="8306"/>
          <w:tab w:val="right" w:pos="9026"/>
        </w:tabs>
        <w:jc w:val="both"/>
        <w:rPr>
          <w:rFonts w:ascii="Segoe UI" w:hAnsi="Segoe UI" w:cs="Segoe UI"/>
          <w:color w:val="2E3335"/>
          <w:sz w:val="22"/>
        </w:rPr>
      </w:pPr>
      <w:r w:rsidRPr="00D77146">
        <w:rPr>
          <w:rFonts w:ascii="Segoe UI" w:hAnsi="Segoe UI" w:cs="Segoe UI"/>
          <w:color w:val="2E3335"/>
          <w:sz w:val="22"/>
        </w:rPr>
        <w:t>This Service will be available until the end of the business day 12</w:t>
      </w:r>
      <w:r w:rsidRPr="00D77146">
        <w:rPr>
          <w:rFonts w:ascii="Segoe UI" w:hAnsi="Segoe UI" w:cs="Segoe UI"/>
          <w:color w:val="2E3335"/>
          <w:sz w:val="22"/>
          <w:vertAlign w:val="superscript"/>
        </w:rPr>
        <w:t>th</w:t>
      </w:r>
      <w:r w:rsidRPr="00D77146">
        <w:rPr>
          <w:rFonts w:ascii="Segoe UI" w:hAnsi="Segoe UI" w:cs="Segoe UI"/>
          <w:color w:val="2E3335"/>
          <w:sz w:val="22"/>
        </w:rPr>
        <w:t xml:space="preserve"> June 2018.</w:t>
      </w:r>
    </w:p>
    <w:p w:rsidR="005A06B9" w:rsidRPr="00D77146" w:rsidRDefault="005A06B9" w:rsidP="005A06B9">
      <w:pPr>
        <w:tabs>
          <w:tab w:val="center" w:pos="426"/>
          <w:tab w:val="center" w:pos="4513"/>
          <w:tab w:val="right" w:pos="8306"/>
          <w:tab w:val="right" w:pos="9026"/>
        </w:tabs>
        <w:jc w:val="both"/>
        <w:rPr>
          <w:rFonts w:ascii="Segoe UI" w:hAnsi="Segoe UI" w:cs="Segoe UI"/>
          <w:color w:val="2E3335"/>
          <w:sz w:val="22"/>
        </w:rPr>
      </w:pPr>
    </w:p>
    <w:p w:rsidR="005A06B9" w:rsidRPr="00D77146" w:rsidRDefault="005A06B9" w:rsidP="005A06B9">
      <w:pPr>
        <w:tabs>
          <w:tab w:val="center" w:pos="426"/>
          <w:tab w:val="center" w:pos="4513"/>
          <w:tab w:val="right" w:pos="8306"/>
          <w:tab w:val="right" w:pos="9026"/>
        </w:tabs>
        <w:jc w:val="both"/>
        <w:rPr>
          <w:rFonts w:ascii="Segoe UI" w:hAnsi="Segoe UI" w:cs="Segoe UI"/>
          <w:color w:val="2E3335"/>
          <w:sz w:val="22"/>
        </w:rPr>
      </w:pPr>
      <w:r w:rsidRPr="00D77146">
        <w:rPr>
          <w:rFonts w:ascii="Segoe UI" w:hAnsi="Segoe UI" w:cs="Segoe UI"/>
          <w:color w:val="2E3335"/>
          <w:sz w:val="22"/>
        </w:rPr>
        <w:t xml:space="preserve">Please dial the following numbers and the </w:t>
      </w:r>
      <w:r w:rsidRPr="00D77146">
        <w:rPr>
          <w:rFonts w:ascii="Segoe UI" w:hAnsi="Segoe UI" w:cs="Segoe UI"/>
          <w:b/>
          <w:color w:val="2E3335"/>
          <w:sz w:val="22"/>
        </w:rPr>
        <w:t>PIN CODE: 059 #</w:t>
      </w:r>
      <w:r w:rsidRPr="00D77146">
        <w:rPr>
          <w:rFonts w:ascii="Segoe UI" w:hAnsi="Segoe UI" w:cs="Segoe UI"/>
          <w:color w:val="2E3335"/>
          <w:sz w:val="22"/>
        </w:rPr>
        <w:t xml:space="preserve"> from a touch-tone telephone</w:t>
      </w:r>
    </w:p>
    <w:p w:rsidR="005A06B9" w:rsidRPr="00D77146" w:rsidRDefault="005A06B9" w:rsidP="005A06B9">
      <w:pPr>
        <w:tabs>
          <w:tab w:val="center" w:pos="426"/>
          <w:tab w:val="center" w:pos="4513"/>
          <w:tab w:val="right" w:pos="8306"/>
          <w:tab w:val="right" w:pos="9026"/>
        </w:tabs>
        <w:jc w:val="both"/>
        <w:rPr>
          <w:rFonts w:ascii="Segoe UI" w:hAnsi="Segoe UI" w:cs="Segoe UI"/>
          <w:color w:val="2E3335"/>
          <w:sz w:val="22"/>
        </w:rPr>
      </w:pPr>
    </w:p>
    <w:p w:rsidR="005A06B9" w:rsidRPr="00D77146" w:rsidRDefault="005A06B9" w:rsidP="005A06B9">
      <w:pPr>
        <w:tabs>
          <w:tab w:val="center" w:pos="426"/>
          <w:tab w:val="center" w:pos="4513"/>
          <w:tab w:val="right" w:pos="8306"/>
          <w:tab w:val="right" w:pos="9026"/>
        </w:tabs>
        <w:rPr>
          <w:rFonts w:ascii="Segoe UI" w:hAnsi="Segoe UI" w:cs="Segoe UI"/>
          <w:b/>
          <w:color w:val="2E3335"/>
          <w:sz w:val="22"/>
        </w:rPr>
      </w:pPr>
      <w:r w:rsidRPr="00D77146">
        <w:rPr>
          <w:rFonts w:ascii="Segoe UI" w:hAnsi="Segoe UI" w:cs="Segoe UI"/>
          <w:color w:val="2E3335"/>
          <w:sz w:val="22"/>
        </w:rPr>
        <w:t xml:space="preserve">Digital Playback UK: </w:t>
      </w:r>
      <w:r w:rsidRPr="00D77146">
        <w:rPr>
          <w:rFonts w:ascii="Segoe UI" w:hAnsi="Segoe UI" w:cs="Segoe UI"/>
          <w:b/>
          <w:color w:val="2E3335"/>
          <w:sz w:val="22"/>
        </w:rPr>
        <w:t>+ 44 (0) 203 059 5874</w:t>
      </w:r>
    </w:p>
    <w:p w:rsidR="005A06B9" w:rsidRPr="00D77146" w:rsidRDefault="005A06B9" w:rsidP="005A06B9">
      <w:pPr>
        <w:tabs>
          <w:tab w:val="center" w:pos="426"/>
          <w:tab w:val="center" w:pos="4513"/>
          <w:tab w:val="right" w:pos="8306"/>
          <w:tab w:val="right" w:pos="9026"/>
        </w:tabs>
        <w:rPr>
          <w:rFonts w:ascii="Segoe UI" w:hAnsi="Segoe UI" w:cs="Segoe UI"/>
          <w:color w:val="2E3335"/>
          <w:sz w:val="22"/>
        </w:rPr>
      </w:pPr>
      <w:r w:rsidRPr="00D77146">
        <w:rPr>
          <w:rFonts w:ascii="Segoe UI" w:hAnsi="Segoe UI" w:cs="Segoe UI"/>
          <w:color w:val="2E3335"/>
          <w:sz w:val="22"/>
        </w:rPr>
        <w:t xml:space="preserve">Digital Playback US: </w:t>
      </w:r>
      <w:r w:rsidRPr="00D77146">
        <w:rPr>
          <w:rFonts w:ascii="Segoe UI" w:hAnsi="Segoe UI" w:cs="Segoe UI"/>
          <w:b/>
          <w:color w:val="2E3335"/>
          <w:sz w:val="22"/>
        </w:rPr>
        <w:t>+ 1 631 257 0626</w:t>
      </w:r>
    </w:p>
    <w:p w:rsidR="005A06B9" w:rsidRPr="00D77146" w:rsidRDefault="005A06B9" w:rsidP="005A06B9">
      <w:pPr>
        <w:tabs>
          <w:tab w:val="center" w:pos="426"/>
          <w:tab w:val="center" w:pos="4513"/>
          <w:tab w:val="right" w:pos="8306"/>
          <w:tab w:val="right" w:pos="9026"/>
        </w:tabs>
        <w:rPr>
          <w:rFonts w:ascii="Segoe UI" w:hAnsi="Segoe UI" w:cs="Segoe UI"/>
          <w:color w:val="2E3335"/>
          <w:sz w:val="22"/>
        </w:rPr>
      </w:pPr>
      <w:r w:rsidRPr="00D77146">
        <w:rPr>
          <w:rFonts w:ascii="Segoe UI" w:hAnsi="Segoe UI" w:cs="Segoe UI"/>
          <w:color w:val="2E3335"/>
          <w:sz w:val="22"/>
        </w:rPr>
        <w:t xml:space="preserve">Digital Playback GR: </w:t>
      </w:r>
      <w:r w:rsidRPr="00D77146">
        <w:rPr>
          <w:rFonts w:ascii="Segoe UI" w:hAnsi="Segoe UI" w:cs="Segoe UI"/>
          <w:b/>
          <w:color w:val="2E3335"/>
          <w:sz w:val="22"/>
        </w:rPr>
        <w:t>+ 30 210 94 60 929</w:t>
      </w:r>
      <w:r w:rsidRPr="00D77146">
        <w:rPr>
          <w:rFonts w:ascii="Segoe UI" w:hAnsi="Segoe UI" w:cs="Segoe UI"/>
          <w:color w:val="2E3335"/>
          <w:sz w:val="22"/>
        </w:rPr>
        <w:br/>
      </w:r>
    </w:p>
    <w:p w:rsidR="005A06B9" w:rsidRPr="00D77146" w:rsidRDefault="005A06B9" w:rsidP="005A06B9">
      <w:pPr>
        <w:tabs>
          <w:tab w:val="center" w:pos="426"/>
          <w:tab w:val="right" w:pos="8306"/>
        </w:tabs>
        <w:jc w:val="both"/>
        <w:rPr>
          <w:rFonts w:ascii="Segoe UI" w:hAnsi="Segoe UI" w:cs="Segoe UI"/>
          <w:i/>
          <w:color w:val="2E3335"/>
          <w:sz w:val="22"/>
        </w:rPr>
      </w:pPr>
      <w:r w:rsidRPr="00D77146">
        <w:rPr>
          <w:rFonts w:ascii="Segoe UI" w:hAnsi="Segoe UI" w:cs="Segoe UI"/>
          <w:i/>
          <w:color w:val="2E3335"/>
          <w:sz w:val="22"/>
        </w:rPr>
        <w:t>In case you need further information, please contact Intralot, Mr. Michail Tsagalakis, at the telephone number:  +30 213 0397000 or Chorus Call Hellas S.A., our Teleconferencing Services Provider, Tel. +30 210 9427300.</w:t>
      </w:r>
    </w:p>
    <w:p w:rsidR="005A06B9" w:rsidRPr="00D77146" w:rsidRDefault="005A06B9" w:rsidP="005A06B9">
      <w:pPr>
        <w:pStyle w:val="NormalWeb"/>
        <w:spacing w:before="0" w:beforeAutospacing="0" w:after="60" w:afterAutospacing="0"/>
        <w:rPr>
          <w:rFonts w:ascii="Segoe UI" w:hAnsi="Segoe UI" w:cs="Segoe UI"/>
          <w:b/>
          <w:color w:val="2E3335"/>
          <w:sz w:val="22"/>
          <w:szCs w:val="22"/>
          <w:lang w:val="en-US"/>
        </w:rPr>
      </w:pPr>
    </w:p>
    <w:p w:rsidR="005A06B9" w:rsidRPr="003158B5" w:rsidRDefault="005A06B9" w:rsidP="005A06B9">
      <w:pPr>
        <w:rPr>
          <w:rFonts w:ascii="Segoe UI" w:hAnsi="Segoe UI" w:cs="Segoe UI"/>
          <w:b/>
          <w:color w:val="FF5000"/>
          <w:sz w:val="24"/>
        </w:rPr>
      </w:pPr>
      <w:r w:rsidRPr="00D77146">
        <w:rPr>
          <w:rFonts w:ascii="Segoe UI" w:hAnsi="Segoe UI" w:cs="Segoe UI"/>
          <w:b/>
          <w:color w:val="2E3335"/>
        </w:rPr>
        <w:br w:type="page"/>
      </w:r>
      <w:r w:rsidRPr="003158B5">
        <w:rPr>
          <w:rFonts w:ascii="Segoe UI" w:hAnsi="Segoe UI" w:cs="Segoe UI"/>
          <w:b/>
          <w:color w:val="FF5000"/>
          <w:sz w:val="24"/>
        </w:rPr>
        <w:t>SUMMARY OF FINANCIAL STATEMENTS</w:t>
      </w:r>
    </w:p>
    <w:p w:rsidR="005A06B9" w:rsidRPr="00D77146" w:rsidRDefault="005A06B9" w:rsidP="005A06B9">
      <w:pPr>
        <w:pStyle w:val="NormalWeb"/>
        <w:spacing w:after="240" w:afterAutospacing="0"/>
        <w:rPr>
          <w:rFonts w:ascii="Segoe UI" w:hAnsi="Segoe UI" w:cs="Segoe UI"/>
          <w:b/>
          <w:color w:val="2E3335"/>
          <w:sz w:val="22"/>
          <w:szCs w:val="22"/>
          <w:lang w:val="en-GB"/>
        </w:rPr>
      </w:pPr>
      <w:r w:rsidRPr="00D77146">
        <w:rPr>
          <w:rFonts w:ascii="Segoe UI" w:hAnsi="Segoe UI" w:cs="Segoe UI"/>
          <w:b/>
          <w:color w:val="2E3335"/>
          <w:sz w:val="22"/>
          <w:szCs w:val="22"/>
          <w:lang w:val="en-GB"/>
        </w:rPr>
        <w:t>Group Statement of Comprehensive Income</w:t>
      </w:r>
    </w:p>
    <w:tbl>
      <w:tblPr>
        <w:tblW w:w="10182" w:type="dxa"/>
        <w:tblLook w:val="04A0" w:firstRow="1" w:lastRow="0" w:firstColumn="1" w:lastColumn="0" w:noHBand="0" w:noVBand="1"/>
      </w:tblPr>
      <w:tblGrid>
        <w:gridCol w:w="3606"/>
        <w:gridCol w:w="1644"/>
        <w:gridCol w:w="1644"/>
        <w:gridCol w:w="1644"/>
        <w:gridCol w:w="1644"/>
      </w:tblGrid>
      <w:tr w:rsidR="005A06B9" w:rsidTr="009C10C4">
        <w:trPr>
          <w:trHeight w:val="330"/>
        </w:trPr>
        <w:tc>
          <w:tcPr>
            <w:tcW w:w="3606" w:type="dxa"/>
            <w:tcBorders>
              <w:top w:val="nil"/>
              <w:left w:val="nil"/>
              <w:bottom w:val="nil"/>
              <w:right w:val="nil"/>
            </w:tcBorders>
            <w:shd w:val="clear" w:color="auto" w:fill="auto"/>
            <w:noWrap/>
            <w:vAlign w:val="center"/>
            <w:hideMark/>
          </w:tcPr>
          <w:p w:rsidR="005A06B9" w:rsidRPr="00285E57" w:rsidRDefault="005A06B9" w:rsidP="009C10C4">
            <w:pPr>
              <w:rPr>
                <w:rFonts w:ascii="Segoe UI" w:hAnsi="Segoe UI" w:cs="Segoe UI"/>
                <w:i/>
                <w:iCs/>
                <w:color w:val="595959" w:themeColor="text1" w:themeTint="A6"/>
                <w:szCs w:val="20"/>
              </w:rPr>
            </w:pPr>
            <w:r w:rsidRPr="00285E57">
              <w:rPr>
                <w:rFonts w:ascii="Segoe UI" w:hAnsi="Segoe UI" w:cs="Segoe UI"/>
                <w:i/>
                <w:iCs/>
                <w:color w:val="595959" w:themeColor="text1" w:themeTint="A6"/>
                <w:szCs w:val="20"/>
              </w:rPr>
              <w:t>(in € million)</w:t>
            </w:r>
          </w:p>
        </w:tc>
        <w:tc>
          <w:tcPr>
            <w:tcW w:w="1644" w:type="dxa"/>
            <w:tcBorders>
              <w:top w:val="nil"/>
              <w:left w:val="nil"/>
              <w:bottom w:val="nil"/>
              <w:right w:val="nil"/>
            </w:tcBorders>
            <w:shd w:val="clear" w:color="000000" w:fill="F2F2F2"/>
            <w:noWrap/>
            <w:vAlign w:val="center"/>
            <w:hideMark/>
          </w:tcPr>
          <w:p w:rsidR="005A06B9" w:rsidRPr="00C47736" w:rsidRDefault="005A06B9" w:rsidP="009C10C4">
            <w:pPr>
              <w:jc w:val="center"/>
              <w:rPr>
                <w:rFonts w:ascii="Segoe UI" w:hAnsi="Segoe UI" w:cs="Segoe UI"/>
                <w:b/>
                <w:color w:val="FF5000"/>
                <w:sz w:val="22"/>
              </w:rPr>
            </w:pPr>
            <w:r>
              <w:rPr>
                <w:rFonts w:ascii="Segoe UI" w:hAnsi="Segoe UI" w:cs="Segoe UI"/>
                <w:b/>
                <w:color w:val="FF5000"/>
                <w:sz w:val="22"/>
                <w:lang w:val="el-GR"/>
              </w:rPr>
              <w:t>1</w:t>
            </w:r>
            <w:r>
              <w:rPr>
                <w:rFonts w:ascii="Segoe UI" w:hAnsi="Segoe UI" w:cs="Segoe UI"/>
                <w:b/>
                <w:color w:val="FF5000"/>
                <w:sz w:val="22"/>
              </w:rPr>
              <w:t>Q18</w:t>
            </w:r>
          </w:p>
        </w:tc>
        <w:tc>
          <w:tcPr>
            <w:tcW w:w="1644" w:type="dxa"/>
            <w:tcBorders>
              <w:top w:val="nil"/>
              <w:left w:val="nil"/>
              <w:bottom w:val="nil"/>
              <w:right w:val="nil"/>
            </w:tcBorders>
            <w:shd w:val="clear" w:color="000000" w:fill="FFFFFF"/>
            <w:noWrap/>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1Q17</w:t>
            </w:r>
          </w:p>
        </w:tc>
        <w:tc>
          <w:tcPr>
            <w:tcW w:w="1644" w:type="dxa"/>
            <w:tcBorders>
              <w:top w:val="nil"/>
              <w:left w:val="nil"/>
              <w:bottom w:val="nil"/>
              <w:right w:val="nil"/>
            </w:tcBorders>
            <w:shd w:val="clear" w:color="000000" w:fill="FFFFFF"/>
            <w:vAlign w:val="center"/>
            <w:hideMark/>
          </w:tcPr>
          <w:p w:rsidR="005A06B9" w:rsidRDefault="005A06B9" w:rsidP="009C10C4">
            <w:pPr>
              <w:jc w:val="center"/>
              <w:rPr>
                <w:rFonts w:ascii="Segoe UI" w:hAnsi="Segoe UI" w:cs="Segoe UI"/>
                <w:i/>
                <w:iCs/>
                <w:color w:val="FF5000"/>
                <w:sz w:val="22"/>
              </w:rPr>
            </w:pPr>
            <w:r>
              <w:rPr>
                <w:rFonts w:ascii="Segoe UI" w:hAnsi="Segoe UI" w:cs="Segoe UI"/>
                <w:i/>
                <w:iCs/>
                <w:color w:val="FF5000"/>
                <w:sz w:val="22"/>
              </w:rPr>
              <w:t>% Change</w:t>
            </w:r>
          </w:p>
        </w:tc>
        <w:tc>
          <w:tcPr>
            <w:tcW w:w="1644" w:type="dxa"/>
            <w:tcBorders>
              <w:top w:val="nil"/>
              <w:left w:val="nil"/>
              <w:bottom w:val="nil"/>
              <w:right w:val="nil"/>
            </w:tcBorders>
            <w:shd w:val="clear" w:color="000000" w:fill="F2F2F2"/>
            <w:noWrap/>
            <w:vAlign w:val="center"/>
            <w:hideMark/>
          </w:tcPr>
          <w:p w:rsidR="005A06B9" w:rsidRPr="00C47736" w:rsidRDefault="005A06B9" w:rsidP="009C10C4">
            <w:pPr>
              <w:jc w:val="center"/>
              <w:rPr>
                <w:rFonts w:ascii="Segoe UI" w:hAnsi="Segoe UI" w:cs="Segoe UI"/>
                <w:b/>
                <w:color w:val="FF5000"/>
                <w:sz w:val="22"/>
                <w:lang w:val="el-GR"/>
              </w:rPr>
            </w:pPr>
            <w:r>
              <w:rPr>
                <w:rFonts w:ascii="Segoe UI" w:hAnsi="Segoe UI" w:cs="Segoe UI"/>
                <w:b/>
                <w:color w:val="FF5000"/>
                <w:sz w:val="22"/>
              </w:rPr>
              <w:t>LTM</w:t>
            </w:r>
          </w:p>
        </w:tc>
      </w:tr>
      <w:tr w:rsidR="005A06B9" w:rsidTr="009C10C4">
        <w:trPr>
          <w:trHeight w:val="330"/>
        </w:trPr>
        <w:tc>
          <w:tcPr>
            <w:tcW w:w="3606" w:type="dxa"/>
            <w:tcBorders>
              <w:top w:val="single" w:sz="4" w:space="0" w:color="auto"/>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Revenues</w:t>
            </w:r>
          </w:p>
        </w:tc>
        <w:tc>
          <w:tcPr>
            <w:tcW w:w="1644" w:type="dxa"/>
            <w:tcBorders>
              <w:top w:val="single" w:sz="4" w:space="0" w:color="auto"/>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280.7</w:t>
            </w:r>
          </w:p>
        </w:tc>
        <w:tc>
          <w:tcPr>
            <w:tcW w:w="1644" w:type="dxa"/>
            <w:tcBorders>
              <w:top w:val="single" w:sz="4" w:space="0" w:color="auto"/>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269.0</w:t>
            </w:r>
          </w:p>
        </w:tc>
        <w:tc>
          <w:tcPr>
            <w:tcW w:w="1644" w:type="dxa"/>
            <w:tcBorders>
              <w:top w:val="single" w:sz="4" w:space="0" w:color="auto"/>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i/>
                <w:iCs/>
                <w:color w:val="2E3335"/>
                <w:sz w:val="22"/>
              </w:rPr>
              <w:t>4.3%</w:t>
            </w:r>
          </w:p>
        </w:tc>
        <w:tc>
          <w:tcPr>
            <w:tcW w:w="1644" w:type="dxa"/>
            <w:tcBorders>
              <w:top w:val="single" w:sz="4" w:space="0" w:color="auto"/>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1,115.9</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Gross Profit</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60.8</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lang w:val="el-GR"/>
              </w:rPr>
            </w:pPr>
            <w:r w:rsidRPr="00D77146">
              <w:rPr>
                <w:rFonts w:ascii="Segoe UI" w:hAnsi="Segoe UI" w:cs="Segoe UI"/>
                <w:color w:val="2E3335"/>
                <w:sz w:val="22"/>
              </w:rPr>
              <w:t>54.8</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10.9%</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247.9</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 Operating Income</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3.5</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4.2</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-16.7%</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16.5</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OPEX</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-37.4</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-33.9</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10.3%</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-154.0</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EBITDA</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42.6</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41.8</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i/>
                <w:iCs/>
                <w:color w:val="2E3335"/>
                <w:sz w:val="22"/>
              </w:rPr>
              <w:t>1.9%</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172.3</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i/>
                <w:iCs/>
                <w:color w:val="2E3335"/>
                <w:sz w:val="22"/>
              </w:rPr>
            </w:pPr>
            <w:r w:rsidRPr="00D77146">
              <w:rPr>
                <w:rFonts w:ascii="Segoe UI" w:hAnsi="Segoe UI" w:cs="Segoe UI"/>
                <w:i/>
                <w:iCs/>
                <w:color w:val="2E3335"/>
                <w:sz w:val="22"/>
              </w:rPr>
              <w:t>Margin</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15.2%</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15.5%</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-0.3pps</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15.4%</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EBIT</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26.9</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25.1</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i/>
                <w:iCs/>
                <w:color w:val="2E3335"/>
                <w:sz w:val="22"/>
              </w:rPr>
              <w:t>7.2%</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110.4</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Interest expense (net)</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-11.1</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-11.2</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-0.9%</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-62.8</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Exchange differences</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-2.7</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0.8</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-9.4</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0.1</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-0.8</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-28.6</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EBT</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13.2</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13.9</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i/>
                <w:iCs/>
                <w:color w:val="2E3335"/>
                <w:sz w:val="22"/>
              </w:rPr>
              <w:t>-5.0%</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9.6</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NIATMI</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-6.0</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-5.4</w:t>
            </w:r>
          </w:p>
        </w:tc>
        <w:tc>
          <w:tcPr>
            <w:tcW w:w="1644" w:type="dxa"/>
            <w:tcBorders>
              <w:top w:val="nil"/>
              <w:left w:val="nil"/>
              <w:bottom w:val="single" w:sz="4" w:space="0" w:color="auto"/>
              <w:right w:val="nil"/>
            </w:tcBorders>
            <w:shd w:val="clear" w:color="auto" w:fill="auto"/>
            <w:noWrap/>
            <w:vAlign w:val="center"/>
          </w:tcPr>
          <w:p w:rsidR="005A06B9" w:rsidRPr="00D77146" w:rsidRDefault="005A06B9" w:rsidP="009C10C4">
            <w:pPr>
              <w:jc w:val="center"/>
              <w:rPr>
                <w:rFonts w:ascii="Segoe UI" w:hAnsi="Segoe UI" w:cs="Segoe UI"/>
                <w:b/>
                <w:i/>
                <w:iCs/>
                <w:color w:val="2E3335"/>
                <w:sz w:val="22"/>
              </w:rPr>
            </w:pPr>
            <w:r w:rsidRPr="00D77146">
              <w:rPr>
                <w:rFonts w:ascii="Segoe UI" w:hAnsi="Segoe UI" w:cs="Segoe UI"/>
                <w:b/>
                <w:i/>
                <w:iCs/>
                <w:color w:val="2E3335"/>
                <w:sz w:val="22"/>
              </w:rPr>
              <w:t>-11.1%</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-54.0</w:t>
            </w:r>
          </w:p>
        </w:tc>
      </w:tr>
      <w:tr w:rsidR="005A06B9" w:rsidTr="009C10C4">
        <w:trPr>
          <w:trHeight w:val="330"/>
        </w:trPr>
        <w:tc>
          <w:tcPr>
            <w:tcW w:w="360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NIATMI continuing</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-6.0</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-6.1</w:t>
            </w:r>
          </w:p>
        </w:tc>
        <w:tc>
          <w:tcPr>
            <w:tcW w:w="1644" w:type="dxa"/>
            <w:tcBorders>
              <w:top w:val="nil"/>
              <w:left w:val="nil"/>
              <w:bottom w:val="single" w:sz="4" w:space="0" w:color="auto"/>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1.6%</w:t>
            </w:r>
          </w:p>
        </w:tc>
        <w:tc>
          <w:tcPr>
            <w:tcW w:w="1644" w:type="dxa"/>
            <w:tcBorders>
              <w:top w:val="nil"/>
              <w:left w:val="nil"/>
              <w:bottom w:val="single" w:sz="4" w:space="0" w:color="auto"/>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-58.5</w:t>
            </w:r>
          </w:p>
        </w:tc>
      </w:tr>
      <w:tr w:rsidR="005A06B9" w:rsidTr="009C10C4">
        <w:trPr>
          <w:trHeight w:val="330"/>
        </w:trPr>
        <w:tc>
          <w:tcPr>
            <w:tcW w:w="3606" w:type="dxa"/>
            <w:tcBorders>
              <w:top w:val="nil"/>
              <w:left w:val="nil"/>
              <w:bottom w:val="nil"/>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NIATMI discontinuing</w:t>
            </w:r>
          </w:p>
        </w:tc>
        <w:tc>
          <w:tcPr>
            <w:tcW w:w="1644" w:type="dxa"/>
            <w:tcBorders>
              <w:top w:val="nil"/>
              <w:left w:val="nil"/>
              <w:bottom w:val="nil"/>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0.0</w:t>
            </w:r>
          </w:p>
        </w:tc>
        <w:tc>
          <w:tcPr>
            <w:tcW w:w="1644" w:type="dxa"/>
            <w:tcBorders>
              <w:top w:val="nil"/>
              <w:left w:val="nil"/>
              <w:bottom w:val="nil"/>
              <w:right w:val="nil"/>
            </w:tcBorders>
            <w:shd w:val="clear" w:color="auto" w:fill="auto"/>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0.7</w:t>
            </w:r>
          </w:p>
        </w:tc>
        <w:tc>
          <w:tcPr>
            <w:tcW w:w="1644" w:type="dxa"/>
            <w:tcBorders>
              <w:top w:val="nil"/>
              <w:left w:val="nil"/>
              <w:bottom w:val="nil"/>
              <w:right w:val="nil"/>
            </w:tcBorders>
            <w:shd w:val="clear" w:color="auto" w:fill="auto"/>
            <w:noWrap/>
            <w:vAlign w:val="center"/>
            <w:hideMark/>
          </w:tcPr>
          <w:p w:rsidR="005A06B9" w:rsidRPr="00D77146" w:rsidRDefault="005A06B9" w:rsidP="009C10C4">
            <w:pPr>
              <w:jc w:val="center"/>
              <w:rPr>
                <w:rFonts w:ascii="Segoe UI" w:hAnsi="Segoe UI" w:cs="Segoe UI"/>
                <w:i/>
                <w:iCs/>
                <w:color w:val="2E3335"/>
                <w:sz w:val="22"/>
              </w:rPr>
            </w:pPr>
            <w:r w:rsidRPr="00D77146">
              <w:rPr>
                <w:rFonts w:ascii="Segoe UI" w:hAnsi="Segoe UI" w:cs="Segoe UI"/>
                <w:i/>
                <w:iCs/>
                <w:color w:val="2E3335"/>
                <w:sz w:val="22"/>
              </w:rPr>
              <w:t>-</w:t>
            </w:r>
          </w:p>
        </w:tc>
        <w:tc>
          <w:tcPr>
            <w:tcW w:w="1644" w:type="dxa"/>
            <w:tcBorders>
              <w:top w:val="nil"/>
              <w:left w:val="nil"/>
              <w:bottom w:val="nil"/>
              <w:right w:val="nil"/>
            </w:tcBorders>
            <w:shd w:val="clear" w:color="000000" w:fill="F2F2F2"/>
            <w:noWrap/>
            <w:vAlign w:val="center"/>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4.5</w:t>
            </w:r>
          </w:p>
        </w:tc>
      </w:tr>
    </w:tbl>
    <w:p w:rsidR="005A06B9" w:rsidRPr="00D77146" w:rsidRDefault="005A06B9" w:rsidP="005A06B9">
      <w:pPr>
        <w:pStyle w:val="NormalWeb"/>
        <w:spacing w:after="240" w:afterAutospacing="0"/>
        <w:rPr>
          <w:rFonts w:ascii="Segoe UI" w:hAnsi="Segoe UI" w:cs="Segoe UI"/>
          <w:b/>
          <w:color w:val="2E3335"/>
          <w:sz w:val="22"/>
          <w:szCs w:val="22"/>
          <w:lang w:val="en-GB"/>
        </w:rPr>
      </w:pPr>
      <w:r w:rsidRPr="00D77146">
        <w:rPr>
          <w:rFonts w:ascii="Segoe UI" w:hAnsi="Segoe UI" w:cs="Segoe UI"/>
          <w:b/>
          <w:color w:val="2E3335"/>
          <w:sz w:val="22"/>
          <w:szCs w:val="22"/>
          <w:lang w:val="en-GB"/>
        </w:rPr>
        <w:t>Group Statement of Financial Position</w:t>
      </w:r>
    </w:p>
    <w:tbl>
      <w:tblPr>
        <w:tblW w:w="9257" w:type="dxa"/>
        <w:tblLook w:val="04A0" w:firstRow="1" w:lastRow="0" w:firstColumn="1" w:lastColumn="0" w:noHBand="0" w:noVBand="1"/>
      </w:tblPr>
      <w:tblGrid>
        <w:gridCol w:w="5675"/>
        <w:gridCol w:w="1791"/>
        <w:gridCol w:w="1791"/>
      </w:tblGrid>
      <w:tr w:rsidR="005A06B9" w:rsidTr="009C10C4">
        <w:trPr>
          <w:trHeight w:val="658"/>
        </w:trPr>
        <w:tc>
          <w:tcPr>
            <w:tcW w:w="5675" w:type="dxa"/>
            <w:tcBorders>
              <w:top w:val="nil"/>
              <w:left w:val="nil"/>
              <w:bottom w:val="nil"/>
              <w:right w:val="nil"/>
            </w:tcBorders>
            <w:shd w:val="clear" w:color="auto" w:fill="auto"/>
            <w:noWrap/>
            <w:vAlign w:val="center"/>
            <w:hideMark/>
          </w:tcPr>
          <w:p w:rsidR="005A06B9" w:rsidRPr="00285E57" w:rsidRDefault="005A06B9" w:rsidP="009C10C4">
            <w:pPr>
              <w:rPr>
                <w:rFonts w:ascii="Segoe UI" w:hAnsi="Segoe UI" w:cs="Segoe UI"/>
                <w:i/>
                <w:iCs/>
                <w:color w:val="595959" w:themeColor="text1" w:themeTint="A6"/>
                <w:szCs w:val="20"/>
              </w:rPr>
            </w:pPr>
            <w:r w:rsidRPr="00285E57">
              <w:rPr>
                <w:rFonts w:ascii="Segoe UI" w:hAnsi="Segoe UI" w:cs="Segoe UI"/>
                <w:i/>
                <w:iCs/>
                <w:color w:val="595959" w:themeColor="text1" w:themeTint="A6"/>
                <w:szCs w:val="20"/>
              </w:rPr>
              <w:t>(in € million)</w:t>
            </w:r>
          </w:p>
        </w:tc>
        <w:tc>
          <w:tcPr>
            <w:tcW w:w="1791" w:type="dxa"/>
            <w:tcBorders>
              <w:top w:val="nil"/>
              <w:left w:val="nil"/>
              <w:bottom w:val="nil"/>
              <w:right w:val="nil"/>
            </w:tcBorders>
            <w:shd w:val="clear" w:color="000000" w:fill="F2F2F2"/>
            <w:noWrap/>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1Q18</w:t>
            </w:r>
          </w:p>
        </w:tc>
        <w:tc>
          <w:tcPr>
            <w:tcW w:w="1791" w:type="dxa"/>
            <w:tcBorders>
              <w:top w:val="nil"/>
              <w:left w:val="nil"/>
              <w:bottom w:val="nil"/>
              <w:right w:val="nil"/>
            </w:tcBorders>
            <w:shd w:val="clear" w:color="auto" w:fill="auto"/>
            <w:noWrap/>
            <w:vAlign w:val="center"/>
            <w:hideMark/>
          </w:tcPr>
          <w:p w:rsidR="005A06B9" w:rsidRPr="00285E57" w:rsidRDefault="005A06B9" w:rsidP="009C10C4">
            <w:pPr>
              <w:jc w:val="center"/>
              <w:rPr>
                <w:rFonts w:ascii="Segoe UI" w:hAnsi="Segoe UI" w:cs="Segoe UI"/>
                <w:b/>
                <w:color w:val="FF5000"/>
                <w:sz w:val="22"/>
              </w:rPr>
            </w:pPr>
            <w:r>
              <w:rPr>
                <w:rFonts w:ascii="Segoe UI" w:hAnsi="Segoe UI" w:cs="Segoe UI"/>
                <w:b/>
                <w:color w:val="FF5000"/>
                <w:sz w:val="22"/>
              </w:rPr>
              <w:t>FY</w:t>
            </w:r>
            <w:r w:rsidRPr="00285E57">
              <w:rPr>
                <w:rFonts w:ascii="Segoe UI" w:hAnsi="Segoe UI" w:cs="Segoe UI"/>
                <w:b/>
                <w:color w:val="FF5000"/>
                <w:sz w:val="22"/>
              </w:rPr>
              <w:t>1</w:t>
            </w:r>
            <w:r>
              <w:rPr>
                <w:rFonts w:ascii="Segoe UI" w:hAnsi="Segoe UI" w:cs="Segoe UI"/>
                <w:b/>
                <w:color w:val="FF5000"/>
                <w:sz w:val="22"/>
              </w:rPr>
              <w:t>7</w:t>
            </w:r>
          </w:p>
        </w:tc>
      </w:tr>
      <w:tr w:rsidR="005A06B9" w:rsidTr="009C10C4">
        <w:trPr>
          <w:trHeight w:val="330"/>
        </w:trPr>
        <w:tc>
          <w:tcPr>
            <w:tcW w:w="5675" w:type="dxa"/>
            <w:tcBorders>
              <w:top w:val="single" w:sz="4" w:space="0" w:color="auto"/>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 xml:space="preserve">Tangible  Assets </w:t>
            </w:r>
          </w:p>
        </w:tc>
        <w:tc>
          <w:tcPr>
            <w:tcW w:w="1791" w:type="dxa"/>
            <w:tcBorders>
              <w:top w:val="single" w:sz="4" w:space="0" w:color="auto"/>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98.2</w:t>
            </w:r>
          </w:p>
        </w:tc>
        <w:tc>
          <w:tcPr>
            <w:tcW w:w="1791" w:type="dxa"/>
            <w:tcBorders>
              <w:top w:val="single" w:sz="4" w:space="0" w:color="auto"/>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102.8</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Intangible Assets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321.7</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324.5</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 Non-Current Assets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183.2</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178.6</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Inventories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36.8</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31.5</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Trade  receivables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72.5</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84.2</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 Current Assets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285.4</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300.3</w:t>
            </w:r>
          </w:p>
        </w:tc>
      </w:tr>
      <w:tr w:rsidR="005A06B9" w:rsidTr="009C10C4">
        <w:trPr>
          <w:trHeight w:val="330"/>
        </w:trPr>
        <w:tc>
          <w:tcPr>
            <w:tcW w:w="5675" w:type="dxa"/>
            <w:tcBorders>
              <w:top w:val="nil"/>
              <w:left w:val="nil"/>
              <w:bottom w:val="single" w:sz="4" w:space="0" w:color="auto"/>
              <w:right w:val="nil"/>
            </w:tcBorders>
            <w:shd w:val="clear" w:color="auto" w:fill="auto"/>
            <w:noWrap/>
            <w:vAlign w:val="center"/>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Assets</w:t>
            </w:r>
          </w:p>
        </w:tc>
        <w:tc>
          <w:tcPr>
            <w:tcW w:w="1791" w:type="dxa"/>
            <w:tcBorders>
              <w:top w:val="nil"/>
              <w:left w:val="nil"/>
              <w:bottom w:val="single" w:sz="4" w:space="0" w:color="auto"/>
              <w:right w:val="nil"/>
            </w:tcBorders>
            <w:shd w:val="clear" w:color="000000" w:fill="F2F2F2"/>
            <w:noWrap/>
            <w:vAlign w:val="center"/>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997.8</w:t>
            </w:r>
          </w:p>
        </w:tc>
        <w:tc>
          <w:tcPr>
            <w:tcW w:w="1791" w:type="dxa"/>
            <w:tcBorders>
              <w:top w:val="nil"/>
              <w:left w:val="nil"/>
              <w:bottom w:val="single" w:sz="4" w:space="0" w:color="auto"/>
              <w:right w:val="nil"/>
            </w:tcBorders>
            <w:shd w:val="clear" w:color="auto" w:fill="auto"/>
            <w:noWrap/>
            <w:vAlign w:val="center"/>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1,021.9</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Share Capital</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47.7</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47.7</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 Equity Elements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-5.7</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10.1</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Non-Controlling Interests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18.1</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32.0</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Shareholders’ Equity</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60.1</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89.8</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Long-term Debt</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744.8</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729.4</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 xml:space="preserve">Provisions/ Other Long term Liabilities </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30.6</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29.6</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Short-term Debt</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6.8</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19.3</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Other Short-term Liabilities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155.5</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153.8</w:t>
            </w:r>
          </w:p>
        </w:tc>
      </w:tr>
      <w:tr w:rsidR="005A06B9" w:rsidTr="009C10C4">
        <w:trPr>
          <w:trHeight w:val="330"/>
        </w:trPr>
        <w:tc>
          <w:tcPr>
            <w:tcW w:w="5675"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Liabilities</w:t>
            </w:r>
          </w:p>
        </w:tc>
        <w:tc>
          <w:tcPr>
            <w:tcW w:w="1791" w:type="dxa"/>
            <w:tcBorders>
              <w:top w:val="nil"/>
              <w:left w:val="nil"/>
              <w:bottom w:val="single" w:sz="4" w:space="0" w:color="auto"/>
              <w:right w:val="nil"/>
            </w:tcBorders>
            <w:shd w:val="clear" w:color="000000" w:fill="F2F2F2"/>
            <w:noWrap/>
            <w:vAlign w:val="bottom"/>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937.7</w:t>
            </w:r>
          </w:p>
        </w:tc>
        <w:tc>
          <w:tcPr>
            <w:tcW w:w="1791" w:type="dxa"/>
            <w:tcBorders>
              <w:top w:val="nil"/>
              <w:left w:val="nil"/>
              <w:bottom w:val="single" w:sz="4" w:space="0" w:color="auto"/>
              <w:right w:val="nil"/>
            </w:tcBorders>
            <w:shd w:val="clear" w:color="auto" w:fill="auto"/>
            <w:noWrap/>
            <w:vAlign w:val="bottom"/>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932.1</w:t>
            </w:r>
          </w:p>
        </w:tc>
      </w:tr>
      <w:tr w:rsidR="005A06B9" w:rsidTr="009C10C4">
        <w:trPr>
          <w:trHeight w:val="330"/>
        </w:trPr>
        <w:tc>
          <w:tcPr>
            <w:tcW w:w="5675" w:type="dxa"/>
            <w:tcBorders>
              <w:top w:val="single" w:sz="4" w:space="0" w:color="auto"/>
              <w:left w:val="nil"/>
              <w:bottom w:val="nil"/>
              <w:right w:val="nil"/>
            </w:tcBorders>
            <w:shd w:val="clear" w:color="auto" w:fill="auto"/>
            <w:noWrap/>
            <w:vAlign w:val="center"/>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Total Equity and Liabilities</w:t>
            </w:r>
          </w:p>
        </w:tc>
        <w:tc>
          <w:tcPr>
            <w:tcW w:w="1791" w:type="dxa"/>
            <w:tcBorders>
              <w:top w:val="single" w:sz="4" w:space="0" w:color="auto"/>
              <w:left w:val="nil"/>
              <w:bottom w:val="nil"/>
              <w:right w:val="nil"/>
            </w:tcBorders>
            <w:shd w:val="clear" w:color="000000" w:fill="F2F2F2"/>
            <w:noWrap/>
            <w:vAlign w:val="center"/>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997.8</w:t>
            </w:r>
          </w:p>
        </w:tc>
        <w:tc>
          <w:tcPr>
            <w:tcW w:w="1791" w:type="dxa"/>
            <w:tcBorders>
              <w:top w:val="single" w:sz="4" w:space="0" w:color="auto"/>
              <w:left w:val="nil"/>
              <w:bottom w:val="nil"/>
              <w:right w:val="nil"/>
            </w:tcBorders>
            <w:shd w:val="clear" w:color="auto" w:fill="auto"/>
            <w:noWrap/>
            <w:vAlign w:val="center"/>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1,021.9</w:t>
            </w:r>
          </w:p>
        </w:tc>
      </w:tr>
    </w:tbl>
    <w:p w:rsidR="005A06B9" w:rsidRDefault="005A06B9" w:rsidP="005A06B9">
      <w:pPr>
        <w:pStyle w:val="NormalWeb"/>
        <w:spacing w:after="240" w:afterAutospacing="0"/>
        <w:rPr>
          <w:rFonts w:ascii="Segoe UI" w:hAnsi="Segoe UI" w:cs="Segoe UI"/>
          <w:i/>
          <w:color w:val="000000" w:themeColor="text1"/>
          <w:sz w:val="22"/>
          <w:szCs w:val="22"/>
          <w:lang w:val="en-GB"/>
        </w:rPr>
      </w:pPr>
    </w:p>
    <w:p w:rsidR="00D77146" w:rsidRDefault="00D77146" w:rsidP="005A06B9">
      <w:pPr>
        <w:pStyle w:val="NormalWeb"/>
        <w:spacing w:after="240" w:afterAutospacing="0"/>
        <w:rPr>
          <w:rFonts w:ascii="Segoe UI" w:hAnsi="Segoe UI" w:cs="Segoe UI"/>
          <w:b/>
          <w:color w:val="000000" w:themeColor="text1"/>
          <w:sz w:val="22"/>
          <w:szCs w:val="22"/>
          <w:lang w:val="en-GB"/>
        </w:rPr>
      </w:pPr>
    </w:p>
    <w:p w:rsidR="005A06B9" w:rsidRPr="00D77146" w:rsidRDefault="005A06B9" w:rsidP="005A06B9">
      <w:pPr>
        <w:pStyle w:val="NormalWeb"/>
        <w:spacing w:after="240" w:afterAutospacing="0"/>
        <w:rPr>
          <w:rFonts w:ascii="Segoe UI" w:hAnsi="Segoe UI" w:cs="Segoe UI"/>
          <w:b/>
          <w:color w:val="2E3335"/>
          <w:sz w:val="22"/>
          <w:szCs w:val="22"/>
          <w:lang w:val="en-GB"/>
        </w:rPr>
      </w:pPr>
      <w:r w:rsidRPr="00D77146">
        <w:rPr>
          <w:rFonts w:ascii="Segoe UI" w:hAnsi="Segoe UI" w:cs="Segoe UI"/>
          <w:b/>
          <w:color w:val="2E3335"/>
          <w:sz w:val="22"/>
          <w:szCs w:val="22"/>
          <w:lang w:val="en-GB"/>
        </w:rPr>
        <w:t>Group Statement of Cash Flows</w:t>
      </w:r>
    </w:p>
    <w:tbl>
      <w:tblPr>
        <w:tblW w:w="9258" w:type="dxa"/>
        <w:tblLook w:val="04A0" w:firstRow="1" w:lastRow="0" w:firstColumn="1" w:lastColumn="0" w:noHBand="0" w:noVBand="1"/>
      </w:tblPr>
      <w:tblGrid>
        <w:gridCol w:w="5676"/>
        <w:gridCol w:w="1791"/>
        <w:gridCol w:w="1791"/>
      </w:tblGrid>
      <w:tr w:rsidR="005A06B9" w:rsidTr="009C10C4">
        <w:trPr>
          <w:trHeight w:val="658"/>
        </w:trPr>
        <w:tc>
          <w:tcPr>
            <w:tcW w:w="5676" w:type="dxa"/>
            <w:tcBorders>
              <w:top w:val="nil"/>
              <w:left w:val="nil"/>
              <w:bottom w:val="nil"/>
              <w:right w:val="nil"/>
            </w:tcBorders>
            <w:shd w:val="clear" w:color="auto" w:fill="auto"/>
            <w:noWrap/>
            <w:vAlign w:val="center"/>
            <w:hideMark/>
          </w:tcPr>
          <w:p w:rsidR="005A06B9" w:rsidRPr="00285E57" w:rsidRDefault="005A06B9" w:rsidP="009C10C4">
            <w:pPr>
              <w:rPr>
                <w:rFonts w:ascii="Segoe UI" w:hAnsi="Segoe UI" w:cs="Segoe UI"/>
                <w:i/>
                <w:iCs/>
                <w:color w:val="595959" w:themeColor="text1" w:themeTint="A6"/>
                <w:szCs w:val="20"/>
              </w:rPr>
            </w:pPr>
            <w:r w:rsidRPr="00285E57">
              <w:rPr>
                <w:rFonts w:ascii="Segoe UI" w:hAnsi="Segoe UI" w:cs="Segoe UI"/>
                <w:i/>
                <w:iCs/>
                <w:color w:val="595959" w:themeColor="text1" w:themeTint="A6"/>
                <w:szCs w:val="20"/>
              </w:rPr>
              <w:t>(in € million)</w:t>
            </w:r>
          </w:p>
        </w:tc>
        <w:tc>
          <w:tcPr>
            <w:tcW w:w="1791" w:type="dxa"/>
            <w:tcBorders>
              <w:top w:val="nil"/>
              <w:left w:val="nil"/>
              <w:bottom w:val="nil"/>
              <w:right w:val="nil"/>
            </w:tcBorders>
            <w:shd w:val="clear" w:color="000000" w:fill="F2F2F2"/>
            <w:noWrap/>
            <w:vAlign w:val="center"/>
            <w:hideMark/>
          </w:tcPr>
          <w:p w:rsidR="005A06B9" w:rsidRDefault="005A06B9" w:rsidP="009C10C4">
            <w:pPr>
              <w:jc w:val="center"/>
              <w:rPr>
                <w:rFonts w:ascii="Segoe UI" w:hAnsi="Segoe UI" w:cs="Segoe UI"/>
                <w:b/>
                <w:bCs/>
                <w:color w:val="FF5000"/>
                <w:sz w:val="22"/>
              </w:rPr>
            </w:pPr>
            <w:r>
              <w:rPr>
                <w:rFonts w:ascii="Segoe UI" w:hAnsi="Segoe UI" w:cs="Segoe UI"/>
                <w:b/>
                <w:color w:val="FF5000"/>
                <w:sz w:val="22"/>
              </w:rPr>
              <w:t>1Q18</w:t>
            </w:r>
          </w:p>
        </w:tc>
        <w:tc>
          <w:tcPr>
            <w:tcW w:w="1791" w:type="dxa"/>
            <w:tcBorders>
              <w:top w:val="nil"/>
              <w:left w:val="nil"/>
              <w:bottom w:val="nil"/>
              <w:right w:val="nil"/>
            </w:tcBorders>
            <w:shd w:val="clear" w:color="auto" w:fill="auto"/>
            <w:noWrap/>
            <w:vAlign w:val="center"/>
            <w:hideMark/>
          </w:tcPr>
          <w:p w:rsidR="005A06B9" w:rsidRDefault="005A06B9" w:rsidP="009C10C4">
            <w:pPr>
              <w:jc w:val="center"/>
              <w:rPr>
                <w:rFonts w:ascii="Segoe UI" w:hAnsi="Segoe UI" w:cs="Segoe UI"/>
                <w:b/>
                <w:bCs/>
                <w:color w:val="FF5000"/>
                <w:sz w:val="22"/>
              </w:rPr>
            </w:pPr>
            <w:r>
              <w:rPr>
                <w:rFonts w:ascii="Segoe UI" w:hAnsi="Segoe UI" w:cs="Segoe UI"/>
                <w:b/>
                <w:color w:val="FF5000"/>
                <w:sz w:val="22"/>
              </w:rPr>
              <w:t>1Q17</w:t>
            </w:r>
          </w:p>
        </w:tc>
      </w:tr>
      <w:tr w:rsidR="005A06B9" w:rsidTr="009C10C4">
        <w:trPr>
          <w:trHeight w:val="330"/>
        </w:trPr>
        <w:tc>
          <w:tcPr>
            <w:tcW w:w="5676" w:type="dxa"/>
            <w:tcBorders>
              <w:top w:val="single" w:sz="4" w:space="0" w:color="auto"/>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EBT from continuing operations</w:t>
            </w:r>
          </w:p>
        </w:tc>
        <w:tc>
          <w:tcPr>
            <w:tcW w:w="1791" w:type="dxa"/>
            <w:tcBorders>
              <w:top w:val="single" w:sz="4" w:space="0" w:color="auto"/>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13.2</w:t>
            </w:r>
          </w:p>
        </w:tc>
        <w:tc>
          <w:tcPr>
            <w:tcW w:w="1791" w:type="dxa"/>
            <w:tcBorders>
              <w:top w:val="single" w:sz="4" w:space="0" w:color="auto"/>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13.9</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EBT from discontinuing operations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0.0</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4.0</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Plus/less Adjustments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29.7</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28.8</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Decrease/(increase) of Inventories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-4.4</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-0.2</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Decrease/(increase) of Receivable Accounts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6.8</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1.7</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(Decrease)/increase of Payable Accounts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lang w:val="el-GR"/>
              </w:rPr>
            </w:pPr>
            <w:r w:rsidRPr="00D77146">
              <w:rPr>
                <w:rFonts w:ascii="Segoe UI" w:hAnsi="Segoe UI" w:cs="Segoe UI"/>
                <w:color w:val="2E3335"/>
                <w:sz w:val="22"/>
              </w:rPr>
              <w:t>-4.2</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-2.4</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Income Tax Paid</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-5.2</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-6.6</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 xml:space="preserve">Net Cash from Operating Activities </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35.9</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39.2</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Net CAPEX</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-14.2</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-24.6</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(Purchases) / Sales of subsidiaries &amp; other investments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-6.7</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-3.1</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Interest received</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1.6</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1.4</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Net Cash from Investing Activities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-19.3</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-26.3</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Cash inflows from loans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26.3</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31.5</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Repayment of loans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-13.1</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-21.9</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Repayment of Leasing Obligations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-0.6</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-0.5</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Interest and similar charges paid</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-23.4</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-13.0</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Dividends paid</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-15.5</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-10.8</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Net Cash from Financing Activities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-26.3</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-14.7</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Net increase / (decrease) in cash for the period</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-9.7</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-1.8</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Exchange differences</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-5.0</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-2.1</w:t>
            </w:r>
          </w:p>
        </w:tc>
      </w:tr>
      <w:tr w:rsidR="005A06B9" w:rsidTr="009C10C4">
        <w:trPr>
          <w:trHeight w:val="330"/>
        </w:trPr>
        <w:tc>
          <w:tcPr>
            <w:tcW w:w="5676" w:type="dxa"/>
            <w:tcBorders>
              <w:top w:val="nil"/>
              <w:left w:val="nil"/>
              <w:bottom w:val="single" w:sz="4" w:space="0" w:color="auto"/>
              <w:right w:val="nil"/>
            </w:tcBorders>
            <w:shd w:val="clear" w:color="auto" w:fill="auto"/>
            <w:noWrap/>
            <w:vAlign w:val="bottom"/>
            <w:hideMark/>
          </w:tcPr>
          <w:p w:rsidR="005A06B9" w:rsidRPr="00D77146" w:rsidRDefault="005A06B9" w:rsidP="009C10C4">
            <w:pPr>
              <w:rPr>
                <w:rFonts w:ascii="Segoe UI" w:hAnsi="Segoe UI" w:cs="Segoe UI"/>
                <w:color w:val="2E3335"/>
                <w:sz w:val="22"/>
              </w:rPr>
            </w:pPr>
            <w:r w:rsidRPr="00D77146">
              <w:rPr>
                <w:rFonts w:ascii="Segoe UI" w:hAnsi="Segoe UI" w:cs="Segoe UI"/>
                <w:color w:val="2E3335"/>
                <w:sz w:val="22"/>
              </w:rPr>
              <w:t>Cash at the beginning of the period</w:t>
            </w:r>
          </w:p>
        </w:tc>
        <w:tc>
          <w:tcPr>
            <w:tcW w:w="1791" w:type="dxa"/>
            <w:tcBorders>
              <w:top w:val="nil"/>
              <w:left w:val="nil"/>
              <w:bottom w:val="single" w:sz="4" w:space="0" w:color="auto"/>
              <w:right w:val="nil"/>
            </w:tcBorders>
            <w:shd w:val="clear" w:color="000000" w:fill="F2F2F2"/>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238.0</w:t>
            </w:r>
          </w:p>
        </w:tc>
        <w:tc>
          <w:tcPr>
            <w:tcW w:w="1791" w:type="dxa"/>
            <w:tcBorders>
              <w:top w:val="nil"/>
              <w:left w:val="nil"/>
              <w:bottom w:val="single" w:sz="4" w:space="0" w:color="auto"/>
              <w:right w:val="nil"/>
            </w:tcBorders>
            <w:shd w:val="clear" w:color="auto" w:fill="auto"/>
            <w:noWrap/>
            <w:vAlign w:val="bottom"/>
            <w:hideMark/>
          </w:tcPr>
          <w:p w:rsidR="005A06B9" w:rsidRPr="00D77146" w:rsidRDefault="005A06B9" w:rsidP="009C10C4">
            <w:pPr>
              <w:jc w:val="center"/>
              <w:rPr>
                <w:rFonts w:ascii="Segoe UI" w:hAnsi="Segoe UI" w:cs="Segoe UI"/>
                <w:color w:val="2E3335"/>
                <w:sz w:val="22"/>
              </w:rPr>
            </w:pPr>
            <w:r w:rsidRPr="00D77146">
              <w:rPr>
                <w:rFonts w:ascii="Segoe UI" w:hAnsi="Segoe UI" w:cs="Segoe UI"/>
                <w:color w:val="2E3335"/>
                <w:sz w:val="22"/>
              </w:rPr>
              <w:t>164.4</w:t>
            </w:r>
          </w:p>
        </w:tc>
      </w:tr>
      <w:tr w:rsidR="005A06B9" w:rsidTr="009C10C4">
        <w:trPr>
          <w:trHeight w:val="330"/>
        </w:trPr>
        <w:tc>
          <w:tcPr>
            <w:tcW w:w="5676" w:type="dxa"/>
            <w:tcBorders>
              <w:top w:val="nil"/>
              <w:left w:val="nil"/>
              <w:bottom w:val="nil"/>
              <w:right w:val="nil"/>
            </w:tcBorders>
            <w:shd w:val="clear" w:color="auto" w:fill="auto"/>
            <w:noWrap/>
            <w:vAlign w:val="bottom"/>
            <w:hideMark/>
          </w:tcPr>
          <w:p w:rsidR="005A06B9" w:rsidRPr="00D77146" w:rsidRDefault="005A06B9" w:rsidP="009C10C4">
            <w:pPr>
              <w:rPr>
                <w:rFonts w:ascii="Segoe UI" w:hAnsi="Segoe UI" w:cs="Segoe UI"/>
                <w:b/>
                <w:bCs/>
                <w:color w:val="2E3335"/>
                <w:sz w:val="22"/>
              </w:rPr>
            </w:pPr>
            <w:r w:rsidRPr="00D77146">
              <w:rPr>
                <w:rFonts w:ascii="Segoe UI" w:hAnsi="Segoe UI" w:cs="Segoe UI"/>
                <w:b/>
                <w:bCs/>
                <w:color w:val="2E3335"/>
                <w:sz w:val="22"/>
              </w:rPr>
              <w:t>Cash at the end of the period from total operations</w:t>
            </w:r>
          </w:p>
        </w:tc>
        <w:tc>
          <w:tcPr>
            <w:tcW w:w="1791" w:type="dxa"/>
            <w:tcBorders>
              <w:top w:val="nil"/>
              <w:left w:val="nil"/>
              <w:bottom w:val="nil"/>
              <w:right w:val="nil"/>
            </w:tcBorders>
            <w:shd w:val="clear" w:color="000000" w:fill="F2F2F2"/>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223.3</w:t>
            </w:r>
          </w:p>
        </w:tc>
        <w:tc>
          <w:tcPr>
            <w:tcW w:w="1791" w:type="dxa"/>
            <w:tcBorders>
              <w:top w:val="nil"/>
              <w:left w:val="nil"/>
              <w:bottom w:val="nil"/>
              <w:right w:val="nil"/>
            </w:tcBorders>
            <w:shd w:val="clear" w:color="auto" w:fill="auto"/>
            <w:noWrap/>
            <w:vAlign w:val="bottom"/>
            <w:hideMark/>
          </w:tcPr>
          <w:p w:rsidR="005A06B9" w:rsidRPr="00D77146" w:rsidRDefault="005A06B9" w:rsidP="009C10C4">
            <w:pPr>
              <w:jc w:val="center"/>
              <w:rPr>
                <w:rFonts w:ascii="Segoe UI" w:hAnsi="Segoe UI" w:cs="Segoe UI"/>
                <w:b/>
                <w:bCs/>
                <w:color w:val="2E3335"/>
                <w:sz w:val="22"/>
              </w:rPr>
            </w:pPr>
            <w:r w:rsidRPr="00D77146">
              <w:rPr>
                <w:rFonts w:ascii="Segoe UI" w:hAnsi="Segoe UI" w:cs="Segoe UI"/>
                <w:b/>
                <w:bCs/>
                <w:color w:val="2E3335"/>
                <w:sz w:val="22"/>
              </w:rPr>
              <w:t>160.5</w:t>
            </w:r>
          </w:p>
        </w:tc>
      </w:tr>
    </w:tbl>
    <w:p w:rsidR="005A06B9" w:rsidRDefault="005A06B9" w:rsidP="005A06B9">
      <w:pPr>
        <w:pStyle w:val="Header"/>
        <w:ind w:left="-567" w:right="-759"/>
        <w:jc w:val="both"/>
        <w:rPr>
          <w:rFonts w:ascii="Segoe UI" w:hAnsi="Segoe UI" w:cs="Segoe UI"/>
          <w:b/>
          <w:bCs/>
          <w:sz w:val="18"/>
        </w:rPr>
      </w:pPr>
    </w:p>
    <w:p w:rsidR="005A06B9" w:rsidRDefault="005A06B9" w:rsidP="005A06B9">
      <w:pPr>
        <w:pStyle w:val="Header"/>
        <w:ind w:right="-759"/>
        <w:jc w:val="both"/>
        <w:rPr>
          <w:rFonts w:ascii="Segoe UI" w:hAnsi="Segoe UI" w:cs="Segoe UI"/>
          <w:b/>
          <w:bCs/>
          <w:sz w:val="18"/>
        </w:rPr>
      </w:pPr>
    </w:p>
    <w:p w:rsidR="005A06B9" w:rsidRPr="00D77146" w:rsidRDefault="005A06B9" w:rsidP="005A06B9">
      <w:pPr>
        <w:pStyle w:val="Header"/>
        <w:ind w:right="-759"/>
        <w:jc w:val="both"/>
        <w:rPr>
          <w:rFonts w:ascii="Segoe UI" w:hAnsi="Segoe UI" w:cs="Segoe UI"/>
          <w:b/>
          <w:bCs/>
          <w:color w:val="2E3335"/>
          <w:sz w:val="18"/>
        </w:rPr>
      </w:pPr>
      <w:r w:rsidRPr="00D77146">
        <w:rPr>
          <w:rFonts w:ascii="Segoe UI" w:hAnsi="Segoe UI" w:cs="Segoe UI"/>
          <w:b/>
          <w:bCs/>
          <w:color w:val="2E3335"/>
          <w:sz w:val="18"/>
        </w:rPr>
        <w:t>About INTRALOT</w:t>
      </w:r>
    </w:p>
    <w:p w:rsidR="005A06B9" w:rsidRPr="00D77146" w:rsidRDefault="005A06B9" w:rsidP="005A06B9">
      <w:pPr>
        <w:pStyle w:val="Header"/>
        <w:ind w:right="-759"/>
        <w:jc w:val="both"/>
        <w:rPr>
          <w:rFonts w:ascii="Segoe UI" w:hAnsi="Segoe UI" w:cs="Segoe UI"/>
          <w:b/>
          <w:bCs/>
          <w:color w:val="2E3335"/>
          <w:sz w:val="18"/>
        </w:rPr>
      </w:pPr>
    </w:p>
    <w:p w:rsidR="005A06B9" w:rsidRPr="00D77146" w:rsidRDefault="005A06B9" w:rsidP="005A06B9">
      <w:pPr>
        <w:pStyle w:val="Header"/>
        <w:ind w:right="41"/>
        <w:jc w:val="both"/>
        <w:rPr>
          <w:rFonts w:ascii="Segoe UI" w:hAnsi="Segoe UI" w:cs="Segoe UI"/>
          <w:b/>
          <w:bCs/>
          <w:color w:val="2E3335"/>
          <w:sz w:val="18"/>
        </w:rPr>
      </w:pPr>
      <w:r w:rsidRPr="00D77146">
        <w:rPr>
          <w:rFonts w:ascii="Segoe UI" w:hAnsi="Segoe UI" w:cs="Segoe UI"/>
          <w:color w:val="2E3335"/>
          <w:sz w:val="18"/>
        </w:rPr>
        <w:t xml:space="preserve">INTRALOT, a public listed company established in 1992, is a leading gaming solutions supplier and operator active in 51 regulated jurisdictions around the globe. With €1.1 billion turnover and a global workforce of approximately 5,100 employees (3,100 of which in subsidiaries and 2,000 in associates) in 2017, INTRALOT is an innovation – driven corporation focusing its product development on the customer experience. The company is uniquely positioned to offer to lottery and gaming organizations across geographies market-tested solutions and retail operational expertise. Through the use of a dynamic and </w:t>
      </w:r>
      <w:proofErr w:type="spellStart"/>
      <w:r w:rsidRPr="00D77146">
        <w:rPr>
          <w:rFonts w:ascii="Segoe UI" w:hAnsi="Segoe UI" w:cs="Segoe UI"/>
          <w:color w:val="2E3335"/>
          <w:sz w:val="18"/>
        </w:rPr>
        <w:t>omni</w:t>
      </w:r>
      <w:proofErr w:type="spellEnd"/>
      <w:r w:rsidRPr="00D77146">
        <w:rPr>
          <w:rFonts w:ascii="Segoe UI" w:hAnsi="Segoe UI" w:cs="Segoe UI"/>
          <w:color w:val="2E3335"/>
          <w:sz w:val="18"/>
        </w:rPr>
        <w:t xml:space="preserve">-channel approach, INTRALOT offers an integrated portfolio of best-in-class gaming systems and product solutions &amp; services addressing all gaming verticals (Lottery, Betting, Interactive, </w:t>
      </w:r>
      <w:proofErr w:type="gramStart"/>
      <w:r w:rsidRPr="00D77146">
        <w:rPr>
          <w:rFonts w:ascii="Segoe UI" w:hAnsi="Segoe UI" w:cs="Segoe UI"/>
          <w:color w:val="2E3335"/>
          <w:sz w:val="18"/>
        </w:rPr>
        <w:t>VLT</w:t>
      </w:r>
      <w:proofErr w:type="gramEnd"/>
      <w:r w:rsidRPr="00D77146">
        <w:rPr>
          <w:rFonts w:ascii="Segoe UI" w:hAnsi="Segoe UI" w:cs="Segoe UI"/>
          <w:color w:val="2E3335"/>
          <w:sz w:val="18"/>
        </w:rPr>
        <w:t>). Players can enjoy a seamless and personalized experience through exciting games and premium content across multiple delivery channels, both retail and interactive. INTRALOT has been awarded with the prestigious WLA Responsible Gaming Framework Certification by the World Lottery Association (WLA) for its global lottery operations.</w:t>
      </w:r>
    </w:p>
    <w:p w:rsidR="005A06B9" w:rsidRPr="00D77146" w:rsidRDefault="005A06B9" w:rsidP="005A06B9">
      <w:pPr>
        <w:ind w:right="41"/>
        <w:jc w:val="both"/>
        <w:rPr>
          <w:rFonts w:ascii="Segoe UI" w:hAnsi="Segoe UI" w:cs="Segoe UI"/>
          <w:color w:val="2E3335"/>
          <w:sz w:val="18"/>
          <w:szCs w:val="18"/>
        </w:rPr>
      </w:pPr>
    </w:p>
    <w:p w:rsidR="005A06B9" w:rsidRPr="00D77146" w:rsidRDefault="005A06B9" w:rsidP="005A06B9">
      <w:pPr>
        <w:ind w:right="-759"/>
        <w:jc w:val="both"/>
        <w:rPr>
          <w:rFonts w:ascii="Segoe UI" w:hAnsi="Segoe UI" w:cs="Segoe UI"/>
          <w:color w:val="2E3335"/>
          <w:sz w:val="18"/>
          <w:szCs w:val="18"/>
        </w:rPr>
      </w:pPr>
      <w:r w:rsidRPr="00D77146">
        <w:rPr>
          <w:rFonts w:ascii="Segoe UI" w:hAnsi="Segoe UI" w:cs="Segoe UI"/>
          <w:color w:val="2E3335"/>
          <w:sz w:val="18"/>
          <w:szCs w:val="18"/>
        </w:rPr>
        <w:t xml:space="preserve">For more info: </w:t>
      </w:r>
    </w:p>
    <w:p w:rsidR="005A06B9" w:rsidRDefault="005A06B9" w:rsidP="005A06B9">
      <w:pPr>
        <w:ind w:right="-759"/>
        <w:jc w:val="both"/>
        <w:rPr>
          <w:rFonts w:ascii="Segoe UI" w:hAnsi="Segoe UI" w:cs="Segoe UI"/>
          <w:sz w:val="18"/>
          <w:szCs w:val="18"/>
        </w:rPr>
      </w:pPr>
      <w:r w:rsidRPr="00D77146">
        <w:rPr>
          <w:rFonts w:ascii="Segoe UI" w:hAnsi="Segoe UI" w:cs="Segoe UI"/>
          <w:color w:val="2E3335"/>
          <w:sz w:val="18"/>
          <w:szCs w:val="18"/>
        </w:rPr>
        <w:t xml:space="preserve">-Mr. Chris Sfatos, Group Director Corporate Affairs, email: </w:t>
      </w:r>
      <w:hyperlink r:id="rId23" w:history="1">
        <w:r w:rsidRPr="009D7F28">
          <w:rPr>
            <w:rStyle w:val="Hyperlink"/>
            <w:rFonts w:ascii="Segoe UI" w:hAnsi="Segoe UI" w:cs="Segoe UI"/>
            <w:sz w:val="18"/>
            <w:szCs w:val="18"/>
          </w:rPr>
          <w:t>sfatos@intralot.com</w:t>
        </w:r>
      </w:hyperlink>
      <w:r w:rsidRPr="009D7F28">
        <w:rPr>
          <w:rFonts w:ascii="Segoe UI" w:hAnsi="Segoe UI" w:cs="Segoe UI"/>
          <w:sz w:val="18"/>
          <w:szCs w:val="18"/>
        </w:rPr>
        <w:t xml:space="preserve"> or</w:t>
      </w:r>
      <w:r w:rsidR="00D77146">
        <w:rPr>
          <w:rFonts w:ascii="Segoe UI" w:hAnsi="Segoe UI" w:cs="Segoe UI"/>
          <w:sz w:val="18"/>
          <w:szCs w:val="18"/>
        </w:rPr>
        <w:t xml:space="preserve"> </w:t>
      </w:r>
    </w:p>
    <w:p w:rsidR="00D77146" w:rsidRPr="009D7F28" w:rsidRDefault="00D77146" w:rsidP="00D77146">
      <w:pPr>
        <w:ind w:right="-759"/>
        <w:jc w:val="both"/>
        <w:rPr>
          <w:rFonts w:ascii="Segoe UI" w:hAnsi="Segoe UI" w:cs="Segoe UI"/>
          <w:sz w:val="18"/>
          <w:szCs w:val="18"/>
        </w:rPr>
      </w:pPr>
      <w:r w:rsidRPr="009D7F28">
        <w:rPr>
          <w:rFonts w:ascii="Segoe UI" w:hAnsi="Segoe UI" w:cs="Segoe UI"/>
          <w:sz w:val="18"/>
          <w:szCs w:val="18"/>
        </w:rPr>
        <w:t xml:space="preserve">-Investor Relations Dept. email: </w:t>
      </w:r>
      <w:hyperlink r:id="rId24" w:history="1">
        <w:r w:rsidRPr="009D7F28">
          <w:rPr>
            <w:rStyle w:val="Hyperlink"/>
            <w:rFonts w:ascii="Segoe UI" w:hAnsi="Segoe UI" w:cs="Segoe UI"/>
            <w:sz w:val="18"/>
            <w:szCs w:val="18"/>
          </w:rPr>
          <w:t>ir@intralot.com</w:t>
        </w:r>
      </w:hyperlink>
    </w:p>
    <w:p w:rsidR="00D77146" w:rsidRPr="00820CA1" w:rsidRDefault="00D77146" w:rsidP="00D77146">
      <w:pPr>
        <w:ind w:right="-759"/>
        <w:jc w:val="both"/>
        <w:rPr>
          <w:rFonts w:ascii="Segoe UI" w:hAnsi="Segoe UI" w:cs="Segoe UI"/>
          <w:sz w:val="18"/>
          <w:highlight w:val="yellow"/>
        </w:rPr>
      </w:pPr>
      <w:r w:rsidRPr="009D7F28">
        <w:rPr>
          <w:rFonts w:ascii="Segoe UI" w:hAnsi="Segoe UI" w:cs="Segoe UI"/>
          <w:sz w:val="18"/>
          <w:szCs w:val="18"/>
        </w:rPr>
        <w:t xml:space="preserve">Phone: +30-210 6156000, Fax: +30-210 6106800, </w:t>
      </w:r>
      <w:hyperlink r:id="rId25" w:history="1">
        <w:r w:rsidRPr="009D7F28">
          <w:rPr>
            <w:rStyle w:val="Hyperlink"/>
            <w:rFonts w:ascii="Segoe UI" w:hAnsi="Segoe UI" w:cs="Segoe UI"/>
            <w:sz w:val="18"/>
            <w:szCs w:val="18"/>
          </w:rPr>
          <w:t>www.intralot.com</w:t>
        </w:r>
      </w:hyperlink>
    </w:p>
    <w:p w:rsidR="00D77146" w:rsidRPr="009D7F28" w:rsidRDefault="00D77146" w:rsidP="005A06B9">
      <w:pPr>
        <w:ind w:right="-759"/>
        <w:jc w:val="both"/>
        <w:rPr>
          <w:rFonts w:ascii="Segoe UI" w:hAnsi="Segoe UI" w:cs="Segoe UI"/>
          <w:sz w:val="18"/>
          <w:szCs w:val="18"/>
        </w:rPr>
      </w:pPr>
    </w:p>
    <w:p w:rsidR="008B79E3" w:rsidRPr="000A43C5" w:rsidRDefault="008B79E3" w:rsidP="005A06B9">
      <w:pPr>
        <w:keepNext/>
        <w:keepLines/>
        <w:widowControl/>
        <w:tabs>
          <w:tab w:val="left" w:pos="-720"/>
          <w:tab w:val="left" w:pos="720"/>
          <w:tab w:val="left" w:pos="1440"/>
        </w:tabs>
        <w:suppressAutoHyphens/>
        <w:spacing w:after="240"/>
        <w:rPr>
          <w:rFonts w:ascii="Segoe UI" w:hAnsi="Segoe UI" w:cs="Segoe UI"/>
          <w:sz w:val="18"/>
          <w:szCs w:val="18"/>
        </w:rPr>
      </w:pPr>
    </w:p>
    <w:sectPr w:rsidR="008B79E3" w:rsidRPr="000A43C5" w:rsidSect="005A06B9">
      <w:headerReference w:type="default" r:id="rId26"/>
      <w:footerReference w:type="default" r:id="rId27"/>
      <w:pgSz w:w="11909" w:h="16834"/>
      <w:pgMar w:top="1418" w:right="1080" w:bottom="1080" w:left="1080" w:header="142" w:footer="7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A65" w:rsidRDefault="009F4A65">
      <w:pPr>
        <w:widowControl/>
        <w:spacing w:line="20" w:lineRule="exact"/>
        <w:rPr>
          <w:sz w:val="24"/>
          <w:szCs w:val="24"/>
        </w:rPr>
      </w:pPr>
    </w:p>
  </w:endnote>
  <w:endnote w:type="continuationSeparator" w:id="0">
    <w:p w:rsidR="009F4A65" w:rsidRDefault="009F4A65" w:rsidP="00D43973">
      <w:r>
        <w:rPr>
          <w:sz w:val="24"/>
          <w:szCs w:val="24"/>
        </w:rPr>
        <w:t xml:space="preserve"> </w:t>
      </w:r>
    </w:p>
  </w:endnote>
  <w:endnote w:type="continuationNotice" w:id="1">
    <w:p w:rsidR="009F4A65" w:rsidRDefault="009F4A65" w:rsidP="00D43973">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0B5" w:rsidRPr="0062591D" w:rsidRDefault="00DD41EF" w:rsidP="0062591D">
    <w:pPr>
      <w:pStyle w:val="Footer"/>
      <w:jc w:val="right"/>
      <w:rPr>
        <w:rFonts w:ascii="Segoe UI" w:hAnsi="Segoe UI" w:cs="Segoe UI"/>
        <w:b/>
        <w:sz w:val="16"/>
      </w:rPr>
    </w:pPr>
    <w:r>
      <w:rPr>
        <w:rFonts w:ascii="Segoe UI" w:hAnsi="Segoe UI" w:cs="Segoe UI"/>
        <w:b/>
        <w:noProof/>
        <w:sz w:val="16"/>
      </w:rPr>
      <w:drawing>
        <wp:anchor distT="0" distB="0" distL="114300" distR="114300" simplePos="0" relativeHeight="251658240" behindDoc="1" locked="0" layoutInCell="1" allowOverlap="1">
          <wp:simplePos x="0" y="0"/>
          <wp:positionH relativeFrom="margin">
            <wp:posOffset>-684530</wp:posOffset>
          </wp:positionH>
          <wp:positionV relativeFrom="paragraph">
            <wp:posOffset>165413</wp:posOffset>
          </wp:positionV>
          <wp:extent cx="7560000" cy="144000"/>
          <wp:effectExtent l="0" t="0" r="0" b="889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ack.jpg"/>
                  <pic:cNvPicPr/>
                </pic:nvPicPr>
                <pic:blipFill rotWithShape="1">
                  <a:blip r:embed="rId1">
                    <a:extLst>
                      <a:ext uri="{28A0092B-C50C-407E-A947-70E740481C1C}">
                        <a14:useLocalDpi xmlns:a14="http://schemas.microsoft.com/office/drawing/2010/main" val="0"/>
                      </a:ext>
                    </a:extLst>
                  </a:blip>
                  <a:srcRect l="3753" t="90885" r="3656" b="6619"/>
                  <a:stretch/>
                </pic:blipFill>
                <pic:spPr bwMode="auto">
                  <a:xfrm>
                    <a:off x="0" y="0"/>
                    <a:ext cx="7560000" cy="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0B5" w:rsidRPr="0062591D">
      <w:rPr>
        <w:rFonts w:ascii="Segoe UI" w:hAnsi="Segoe UI" w:cs="Segoe UI"/>
        <w:b/>
        <w:sz w:val="16"/>
      </w:rPr>
      <w:fldChar w:fldCharType="begin"/>
    </w:r>
    <w:r w:rsidR="009350B5" w:rsidRPr="0062591D">
      <w:rPr>
        <w:rFonts w:ascii="Segoe UI" w:hAnsi="Segoe UI" w:cs="Segoe UI"/>
        <w:b/>
        <w:sz w:val="16"/>
      </w:rPr>
      <w:instrText xml:space="preserve"> PAGE   \* MERGEFORMAT </w:instrText>
    </w:r>
    <w:r w:rsidR="009350B5" w:rsidRPr="0062591D">
      <w:rPr>
        <w:rFonts w:ascii="Segoe UI" w:hAnsi="Segoe UI" w:cs="Segoe UI"/>
        <w:b/>
        <w:sz w:val="16"/>
      </w:rPr>
      <w:fldChar w:fldCharType="separate"/>
    </w:r>
    <w:r w:rsidR="00715B59">
      <w:rPr>
        <w:rFonts w:ascii="Segoe UI" w:hAnsi="Segoe UI" w:cs="Segoe UI"/>
        <w:b/>
        <w:noProof/>
        <w:sz w:val="16"/>
      </w:rPr>
      <w:t>16</w:t>
    </w:r>
    <w:r w:rsidR="009350B5" w:rsidRPr="0062591D">
      <w:rPr>
        <w:rFonts w:ascii="Segoe UI" w:hAnsi="Segoe UI" w:cs="Segoe UI"/>
        <w:b/>
        <w:noProof/>
        <w:sz w:val="16"/>
      </w:rPr>
      <w:fldChar w:fldCharType="end"/>
    </w:r>
  </w:p>
  <w:p w:rsidR="009350B5" w:rsidRDefault="007C7BD5" w:rsidP="007C7BD5">
    <w:pPr>
      <w:pStyle w:val="Footer"/>
      <w:tabs>
        <w:tab w:val="clear" w:pos="4513"/>
        <w:tab w:val="left" w:pos="902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A65" w:rsidRDefault="009F4A65" w:rsidP="00D43973">
      <w:r>
        <w:rPr>
          <w:sz w:val="24"/>
          <w:szCs w:val="24"/>
        </w:rPr>
        <w:separator/>
      </w:r>
    </w:p>
  </w:footnote>
  <w:footnote w:type="continuationSeparator" w:id="0">
    <w:p w:rsidR="009F4A65" w:rsidRDefault="009F4A65">
      <w:r>
        <w:continuationSeparator/>
      </w:r>
    </w:p>
  </w:footnote>
  <w:footnote w:id="1">
    <w:p w:rsidR="005A06B9" w:rsidRPr="00D77146" w:rsidRDefault="005A06B9" w:rsidP="005A06B9">
      <w:pPr>
        <w:pStyle w:val="FootnoteText"/>
        <w:rPr>
          <w:rFonts w:ascii="Segoe UI" w:hAnsi="Segoe UI" w:cs="Segoe UI"/>
          <w:color w:val="2E3335"/>
          <w:sz w:val="18"/>
          <w:szCs w:val="18"/>
        </w:rPr>
      </w:pPr>
      <w:r w:rsidRPr="00D77146">
        <w:rPr>
          <w:rStyle w:val="FootnoteReference"/>
          <w:rFonts w:ascii="Segoe UI" w:hAnsi="Segoe UI" w:cs="Segoe UI"/>
          <w:color w:val="2E3335"/>
          <w:sz w:val="18"/>
          <w:szCs w:val="18"/>
        </w:rPr>
        <w:footnoteRef/>
      </w:r>
      <w:r w:rsidRPr="00D77146">
        <w:rPr>
          <w:rFonts w:ascii="Segoe UI" w:hAnsi="Segoe UI" w:cs="Segoe UI"/>
          <w:color w:val="2E3335"/>
          <w:sz w:val="18"/>
          <w:szCs w:val="18"/>
        </w:rPr>
        <w:t xml:space="preserve"> Calculated as Proportionate EBITDA of fully consolidated entities including EBITDA from equity investments in Italy, Peru, Greece, and Taiwan</w:t>
      </w:r>
    </w:p>
  </w:footnote>
  <w:footnote w:id="2">
    <w:p w:rsidR="005A06B9" w:rsidRPr="00D77146" w:rsidRDefault="005A06B9" w:rsidP="005A06B9">
      <w:pPr>
        <w:pStyle w:val="FootnoteText"/>
        <w:rPr>
          <w:rFonts w:ascii="Segoe UI" w:hAnsi="Segoe UI" w:cs="Segoe UI"/>
          <w:color w:val="2E3335"/>
          <w:sz w:val="18"/>
          <w:szCs w:val="18"/>
        </w:rPr>
      </w:pPr>
      <w:r w:rsidRPr="00D77146">
        <w:rPr>
          <w:rStyle w:val="FootnoteReference"/>
          <w:rFonts w:ascii="Segoe UI" w:hAnsi="Segoe UI" w:cs="Segoe UI"/>
          <w:color w:val="2E3335"/>
          <w:sz w:val="18"/>
          <w:szCs w:val="18"/>
        </w:rPr>
        <w:footnoteRef/>
      </w:r>
      <w:r w:rsidRPr="00D77146">
        <w:rPr>
          <w:rFonts w:ascii="Segoe UI" w:hAnsi="Segoe UI" w:cs="Segoe UI"/>
          <w:color w:val="2E3335"/>
          <w:sz w:val="18"/>
          <w:szCs w:val="18"/>
        </w:rPr>
        <w:t xml:space="preserve"> Licensed Operations Revenue include also a small portion of non-Payout related revenue, i.e. value added services, which totaled €1,2 million and €1,5 million for 1Q18 and 1Q17 respectively</w:t>
      </w:r>
    </w:p>
  </w:footnote>
  <w:footnote w:id="3">
    <w:p w:rsidR="005A06B9" w:rsidRPr="00D77146" w:rsidRDefault="005A06B9" w:rsidP="005A06B9">
      <w:pPr>
        <w:pStyle w:val="FootnoteText"/>
        <w:rPr>
          <w:color w:val="2E3335"/>
          <w:sz w:val="18"/>
          <w:szCs w:val="18"/>
        </w:rPr>
      </w:pPr>
      <w:r w:rsidRPr="00D77146">
        <w:rPr>
          <w:rStyle w:val="FootnoteReference"/>
          <w:rFonts w:ascii="Segoe UI" w:hAnsi="Segoe UI" w:cs="Segoe UI"/>
          <w:color w:val="2E3335"/>
          <w:sz w:val="18"/>
          <w:szCs w:val="18"/>
        </w:rPr>
        <w:footnoteRef/>
      </w:r>
      <w:r w:rsidRPr="00D77146">
        <w:rPr>
          <w:rFonts w:ascii="Segoe UI" w:hAnsi="Segoe UI" w:cs="Segoe UI"/>
          <w:color w:val="2E3335"/>
          <w:sz w:val="18"/>
          <w:szCs w:val="18"/>
        </w:rPr>
        <w:t xml:space="preserve"> Analysis in the EBITDA section excludes Depreciation &amp; Amortization</w:t>
      </w:r>
    </w:p>
  </w:footnote>
  <w:footnote w:id="4">
    <w:p w:rsidR="005A06B9" w:rsidRPr="00102B6E" w:rsidRDefault="005A06B9" w:rsidP="005A06B9">
      <w:pPr>
        <w:pStyle w:val="FootnoteText"/>
      </w:pPr>
      <w:r>
        <w:rPr>
          <w:rStyle w:val="FootnoteReference"/>
        </w:rPr>
        <w:footnoteRef/>
      </w:r>
      <w:r>
        <w:t xml:space="preserve"> </w:t>
      </w:r>
      <w:r w:rsidRPr="004C6AFD">
        <w:rPr>
          <w:rFonts w:ascii="Segoe UI" w:hAnsi="Segoe UI" w:cs="Segoe UI"/>
          <w:sz w:val="18"/>
          <w:szCs w:val="18"/>
        </w:rPr>
        <w:t xml:space="preserve">Calculated as EBITDA – Maintenance CAPEX – Cash Taxes – Net Cash Finance Charges (excluding refinancing charges) – </w:t>
      </w:r>
      <w:r>
        <w:rPr>
          <w:rFonts w:ascii="Segoe UI" w:hAnsi="Segoe UI" w:cs="Segoe UI"/>
          <w:sz w:val="18"/>
          <w:szCs w:val="18"/>
        </w:rPr>
        <w:t xml:space="preserve">Net </w:t>
      </w:r>
      <w:r w:rsidRPr="004C6AFD">
        <w:rPr>
          <w:rFonts w:ascii="Segoe UI" w:hAnsi="Segoe UI" w:cs="Segoe UI"/>
          <w:sz w:val="18"/>
          <w:szCs w:val="18"/>
        </w:rPr>
        <w:t>Dividends Paid; all finance metrics exclude the impact of discontinued operations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0B5" w:rsidRPr="00B03959" w:rsidRDefault="009350B5">
    <w:pPr>
      <w:pStyle w:val="Header"/>
      <w:rPr>
        <w:sz w:val="10"/>
        <w:szCs w:val="10"/>
      </w:rPr>
    </w:pPr>
    <w:r w:rsidRPr="00B03959">
      <w:rPr>
        <w:rFonts w:ascii="Verdana" w:hAnsi="Verdana"/>
        <w:noProof/>
        <w:color w:val="F79646"/>
        <w:sz w:val="10"/>
        <w:szCs w:val="10"/>
        <w:lang w:eastAsia="el-G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88A5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4735A1E"/>
    <w:multiLevelType w:val="hybridMultilevel"/>
    <w:tmpl w:val="0D583618"/>
    <w:lvl w:ilvl="0" w:tplc="4F9433F8">
      <w:start w:val="1"/>
      <w:numFmt w:val="bullet"/>
      <w:lvlText w:val=""/>
      <w:lvlJc w:val="left"/>
      <w:pPr>
        <w:ind w:left="360" w:hanging="360"/>
      </w:pPr>
      <w:rPr>
        <w:rFonts w:ascii="Symbol" w:hAnsi="Symbol" w:hint="default"/>
        <w:color w:val="FF5000"/>
        <w:sz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74E776F"/>
    <w:multiLevelType w:val="hybridMultilevel"/>
    <w:tmpl w:val="18E8F35A"/>
    <w:lvl w:ilvl="0" w:tplc="86D8993C">
      <w:start w:val="1"/>
      <w:numFmt w:val="bullet"/>
      <w:lvlText w:val=""/>
      <w:lvlJc w:val="left"/>
      <w:pPr>
        <w:ind w:left="720" w:hanging="360"/>
      </w:pPr>
      <w:rPr>
        <w:rFonts w:ascii="Symbol" w:hAnsi="Symbol" w:hint="default"/>
        <w:color w:val="FFFFFF" w:themeColor="background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E9E"/>
    <w:multiLevelType w:val="hybridMultilevel"/>
    <w:tmpl w:val="F40654AA"/>
    <w:lvl w:ilvl="0" w:tplc="04090005">
      <w:start w:val="1"/>
      <w:numFmt w:val="bullet"/>
      <w:lvlText w:val=""/>
      <w:lvlJc w:val="left"/>
      <w:pPr>
        <w:ind w:left="720" w:hanging="360"/>
      </w:pPr>
      <w:rPr>
        <w:rFonts w:ascii="Wingdings" w:hAnsi="Wingdings"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AE391D"/>
    <w:multiLevelType w:val="hybridMultilevel"/>
    <w:tmpl w:val="B67C5EA0"/>
    <w:lvl w:ilvl="0" w:tplc="38FA4274">
      <w:start w:val="1"/>
      <w:numFmt w:val="bullet"/>
      <w:lvlText w:val="o"/>
      <w:lvlJc w:val="left"/>
      <w:pPr>
        <w:ind w:left="720" w:hanging="360"/>
      </w:pPr>
      <w:rPr>
        <w:rFonts w:ascii="Courier New" w:hAnsi="Courier New" w:cs="Courier New" w:hint="default"/>
        <w:color w:val="FF5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CF26FD"/>
    <w:multiLevelType w:val="hybridMultilevel"/>
    <w:tmpl w:val="DA1ACFEC"/>
    <w:lvl w:ilvl="0" w:tplc="4F9433F8">
      <w:start w:val="1"/>
      <w:numFmt w:val="bullet"/>
      <w:lvlText w:val=""/>
      <w:lvlJc w:val="left"/>
      <w:pPr>
        <w:ind w:left="720" w:hanging="360"/>
      </w:pPr>
      <w:rPr>
        <w:rFonts w:ascii="Symbol" w:hAnsi="Symbol" w:hint="default"/>
        <w:color w:val="FF5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D51D1"/>
    <w:multiLevelType w:val="hybridMultilevel"/>
    <w:tmpl w:val="FD1EED46"/>
    <w:lvl w:ilvl="0" w:tplc="38FA4274">
      <w:start w:val="1"/>
      <w:numFmt w:val="bullet"/>
      <w:lvlText w:val="o"/>
      <w:lvlJc w:val="left"/>
      <w:pPr>
        <w:ind w:left="720" w:hanging="360"/>
      </w:pPr>
      <w:rPr>
        <w:rFonts w:ascii="Courier New" w:hAnsi="Courier New" w:cs="Courier New" w:hint="default"/>
        <w:color w:val="FF5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84479"/>
    <w:multiLevelType w:val="hybridMultilevel"/>
    <w:tmpl w:val="18DE72C2"/>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4DC4F08"/>
    <w:multiLevelType w:val="hybridMultilevel"/>
    <w:tmpl w:val="3B5E06AC"/>
    <w:lvl w:ilvl="0" w:tplc="04080001">
      <w:start w:val="1"/>
      <w:numFmt w:val="bullet"/>
      <w:lvlText w:val=""/>
      <w:lvlJc w:val="left"/>
      <w:pPr>
        <w:ind w:left="720" w:hanging="360"/>
      </w:pPr>
      <w:rPr>
        <w:rFonts w:ascii="Symbol" w:hAnsi="Symbol" w:hint="default"/>
      </w:rPr>
    </w:lvl>
    <w:lvl w:ilvl="1" w:tplc="6DDCFDEC">
      <w:numFmt w:val="bullet"/>
      <w:lvlText w:val="•"/>
      <w:lvlJc w:val="left"/>
      <w:pPr>
        <w:ind w:left="1440" w:hanging="360"/>
      </w:pPr>
      <w:rPr>
        <w:rFonts w:ascii="Verdana" w:eastAsia="Times New Roman" w:hAnsi="Verdana"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79C42DB"/>
    <w:multiLevelType w:val="hybridMultilevel"/>
    <w:tmpl w:val="351495AE"/>
    <w:lvl w:ilvl="0" w:tplc="4F9433F8">
      <w:start w:val="1"/>
      <w:numFmt w:val="bullet"/>
      <w:lvlText w:val=""/>
      <w:lvlJc w:val="left"/>
      <w:pPr>
        <w:ind w:left="720" w:hanging="360"/>
      </w:pPr>
      <w:rPr>
        <w:rFonts w:ascii="Symbol" w:hAnsi="Symbol" w:hint="default"/>
        <w:color w:val="FF5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A6CA2"/>
    <w:multiLevelType w:val="hybridMultilevel"/>
    <w:tmpl w:val="BC3E129E"/>
    <w:lvl w:ilvl="0" w:tplc="BF78F9A4">
      <w:start w:val="7"/>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2D386A51"/>
    <w:multiLevelType w:val="hybridMultilevel"/>
    <w:tmpl w:val="EF2022D2"/>
    <w:lvl w:ilvl="0" w:tplc="4F9433F8">
      <w:start w:val="1"/>
      <w:numFmt w:val="bullet"/>
      <w:lvlText w:val=""/>
      <w:lvlJc w:val="left"/>
      <w:pPr>
        <w:ind w:left="720" w:hanging="360"/>
      </w:pPr>
      <w:rPr>
        <w:rFonts w:ascii="Symbol" w:hAnsi="Symbol" w:hint="default"/>
        <w:color w:val="FF5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D74DA"/>
    <w:multiLevelType w:val="hybridMultilevel"/>
    <w:tmpl w:val="28022F44"/>
    <w:lvl w:ilvl="0" w:tplc="38FA4274">
      <w:start w:val="1"/>
      <w:numFmt w:val="bullet"/>
      <w:lvlText w:val="o"/>
      <w:lvlJc w:val="left"/>
      <w:pPr>
        <w:ind w:left="720" w:hanging="360"/>
      </w:pPr>
      <w:rPr>
        <w:rFonts w:ascii="Courier New" w:hAnsi="Courier New" w:cs="Courier New" w:hint="default"/>
        <w:color w:val="FF5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12D95"/>
    <w:multiLevelType w:val="hybridMultilevel"/>
    <w:tmpl w:val="C60C4E8E"/>
    <w:lvl w:ilvl="0" w:tplc="0408000B">
      <w:start w:val="1"/>
      <w:numFmt w:val="bullet"/>
      <w:lvlText w:val=""/>
      <w:lvlJc w:val="left"/>
      <w:pPr>
        <w:ind w:left="1800" w:hanging="360"/>
      </w:pPr>
      <w:rPr>
        <w:rFonts w:ascii="Wingdings" w:hAnsi="Wingdings"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5" w15:restartNumberingAfterBreak="0">
    <w:nsid w:val="2F1E4A32"/>
    <w:multiLevelType w:val="hybridMultilevel"/>
    <w:tmpl w:val="582C26E8"/>
    <w:lvl w:ilvl="0" w:tplc="38FA4274">
      <w:start w:val="1"/>
      <w:numFmt w:val="bullet"/>
      <w:lvlText w:val="o"/>
      <w:lvlJc w:val="left"/>
      <w:pPr>
        <w:ind w:left="1429" w:hanging="360"/>
      </w:pPr>
      <w:rPr>
        <w:rFonts w:ascii="Courier New" w:hAnsi="Courier New" w:cs="Courier New" w:hint="default"/>
        <w:color w:val="FF5000"/>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15:restartNumberingAfterBreak="0">
    <w:nsid w:val="33341B53"/>
    <w:multiLevelType w:val="hybridMultilevel"/>
    <w:tmpl w:val="EABE31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76275A2"/>
    <w:multiLevelType w:val="hybridMultilevel"/>
    <w:tmpl w:val="101A150E"/>
    <w:lvl w:ilvl="0" w:tplc="38FA4274">
      <w:start w:val="1"/>
      <w:numFmt w:val="bullet"/>
      <w:lvlText w:val="o"/>
      <w:lvlJc w:val="left"/>
      <w:pPr>
        <w:ind w:left="862" w:hanging="360"/>
      </w:pPr>
      <w:rPr>
        <w:rFonts w:ascii="Courier New" w:hAnsi="Courier New" w:cs="Courier New" w:hint="default"/>
        <w:color w:val="FF5000"/>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8" w15:restartNumberingAfterBreak="0">
    <w:nsid w:val="38427F4C"/>
    <w:multiLevelType w:val="hybridMultilevel"/>
    <w:tmpl w:val="95869A0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396C2289"/>
    <w:multiLevelType w:val="hybridMultilevel"/>
    <w:tmpl w:val="1F927720"/>
    <w:lvl w:ilvl="0" w:tplc="04090001">
      <w:start w:val="1"/>
      <w:numFmt w:val="bullet"/>
      <w:lvlText w:val=""/>
      <w:lvlJc w:val="left"/>
      <w:pPr>
        <w:ind w:left="360" w:hanging="360"/>
      </w:pPr>
      <w:rPr>
        <w:rFonts w:ascii="Symbol" w:hAnsi="Symbol" w:hint="default"/>
        <w:color w:val="FF5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B420444"/>
    <w:multiLevelType w:val="hybridMultilevel"/>
    <w:tmpl w:val="9724E878"/>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B572833"/>
    <w:multiLevelType w:val="hybridMultilevel"/>
    <w:tmpl w:val="AB2EB466"/>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2FC70B9"/>
    <w:multiLevelType w:val="hybridMultilevel"/>
    <w:tmpl w:val="506495F2"/>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3136826"/>
    <w:multiLevelType w:val="hybridMultilevel"/>
    <w:tmpl w:val="7B887A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46A148D7"/>
    <w:multiLevelType w:val="hybridMultilevel"/>
    <w:tmpl w:val="CFD831F6"/>
    <w:lvl w:ilvl="0" w:tplc="BF78F9A4">
      <w:start w:val="7"/>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15:restartNumberingAfterBreak="0">
    <w:nsid w:val="4807703C"/>
    <w:multiLevelType w:val="hybridMultilevel"/>
    <w:tmpl w:val="9ADA1338"/>
    <w:lvl w:ilvl="0" w:tplc="2FBC97E4">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A40344A"/>
    <w:multiLevelType w:val="hybridMultilevel"/>
    <w:tmpl w:val="0A44545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15:restartNumberingAfterBreak="0">
    <w:nsid w:val="50C42D28"/>
    <w:multiLevelType w:val="hybridMultilevel"/>
    <w:tmpl w:val="36DE65FA"/>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3A1D1F"/>
    <w:multiLevelType w:val="hybridMultilevel"/>
    <w:tmpl w:val="D770933A"/>
    <w:lvl w:ilvl="0" w:tplc="04090001">
      <w:start w:val="1"/>
      <w:numFmt w:val="bullet"/>
      <w:lvlText w:val=""/>
      <w:lvlJc w:val="left"/>
      <w:pPr>
        <w:ind w:left="1800" w:hanging="360"/>
      </w:pPr>
      <w:rPr>
        <w:rFonts w:ascii="Symbol" w:hAnsi="Symbol"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9" w15:restartNumberingAfterBreak="0">
    <w:nsid w:val="55427A48"/>
    <w:multiLevelType w:val="hybridMultilevel"/>
    <w:tmpl w:val="01F20750"/>
    <w:lvl w:ilvl="0" w:tplc="38FA4274">
      <w:start w:val="1"/>
      <w:numFmt w:val="bullet"/>
      <w:lvlText w:val="o"/>
      <w:lvlJc w:val="left"/>
      <w:pPr>
        <w:ind w:left="720" w:hanging="360"/>
      </w:pPr>
      <w:rPr>
        <w:rFonts w:ascii="Courier New" w:hAnsi="Courier New" w:cs="Courier New" w:hint="default"/>
        <w:color w:val="FF5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C1C47"/>
    <w:multiLevelType w:val="hybridMultilevel"/>
    <w:tmpl w:val="FD30B96E"/>
    <w:lvl w:ilvl="0" w:tplc="BF78F9A4">
      <w:start w:val="7"/>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59F12D85"/>
    <w:multiLevelType w:val="hybridMultilevel"/>
    <w:tmpl w:val="F0D6CF24"/>
    <w:lvl w:ilvl="0" w:tplc="4F9433F8">
      <w:start w:val="1"/>
      <w:numFmt w:val="bullet"/>
      <w:lvlText w:val=""/>
      <w:lvlJc w:val="left"/>
      <w:pPr>
        <w:ind w:left="720" w:hanging="360"/>
      </w:pPr>
      <w:rPr>
        <w:rFonts w:ascii="Symbol" w:hAnsi="Symbol" w:hint="default"/>
        <w:color w:val="FF5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26148"/>
    <w:multiLevelType w:val="hybridMultilevel"/>
    <w:tmpl w:val="BC5491A6"/>
    <w:lvl w:ilvl="0" w:tplc="38FA4274">
      <w:start w:val="1"/>
      <w:numFmt w:val="bullet"/>
      <w:lvlText w:val="o"/>
      <w:lvlJc w:val="left"/>
      <w:pPr>
        <w:ind w:left="360" w:hanging="360"/>
      </w:pPr>
      <w:rPr>
        <w:rFonts w:ascii="Courier New" w:hAnsi="Courier New" w:cs="Courier New" w:hint="default"/>
        <w:color w:val="FF5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5BFE6538"/>
    <w:multiLevelType w:val="hybridMultilevel"/>
    <w:tmpl w:val="CD62E620"/>
    <w:lvl w:ilvl="0" w:tplc="4F9433F8">
      <w:start w:val="1"/>
      <w:numFmt w:val="bullet"/>
      <w:lvlText w:val=""/>
      <w:lvlJc w:val="left"/>
      <w:pPr>
        <w:ind w:left="1429" w:hanging="360"/>
      </w:pPr>
      <w:rPr>
        <w:rFonts w:ascii="Symbol" w:hAnsi="Symbol" w:hint="default"/>
        <w:color w:val="FF5000"/>
        <w:sz w:val="28"/>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4" w15:restartNumberingAfterBreak="0">
    <w:nsid w:val="5C8B187A"/>
    <w:multiLevelType w:val="hybridMultilevel"/>
    <w:tmpl w:val="8F8A270C"/>
    <w:lvl w:ilvl="0" w:tplc="7EE6A61A">
      <w:numFmt w:val="bullet"/>
      <w:lvlText w:val="-"/>
      <w:lvlJc w:val="left"/>
      <w:pPr>
        <w:ind w:left="1800" w:hanging="360"/>
      </w:pPr>
      <w:rPr>
        <w:rFonts w:ascii="Tahoma" w:eastAsia="MS Mincho" w:hAnsi="Tahoma" w:cs="Tahoma"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5" w15:restartNumberingAfterBreak="0">
    <w:nsid w:val="5FFE53A2"/>
    <w:multiLevelType w:val="hybridMultilevel"/>
    <w:tmpl w:val="59464AC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6" w15:restartNumberingAfterBreak="0">
    <w:nsid w:val="61AE103D"/>
    <w:multiLevelType w:val="hybridMultilevel"/>
    <w:tmpl w:val="3FE4A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69D6961"/>
    <w:multiLevelType w:val="hybridMultilevel"/>
    <w:tmpl w:val="FED827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713E34E4"/>
    <w:multiLevelType w:val="hybridMultilevel"/>
    <w:tmpl w:val="91B8DF28"/>
    <w:lvl w:ilvl="0" w:tplc="654A6696">
      <w:start w:val="1"/>
      <w:numFmt w:val="bullet"/>
      <w:lvlText w:val=""/>
      <w:lvlJc w:val="left"/>
      <w:pPr>
        <w:ind w:left="720" w:hanging="360"/>
      </w:pPr>
      <w:rPr>
        <w:rFonts w:ascii="Segoe MDL2 Assets" w:hAnsi="Segoe MDL2 Assets" w:hint="default"/>
        <w:color w:val="FF500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D5728"/>
    <w:multiLevelType w:val="hybridMultilevel"/>
    <w:tmpl w:val="C0425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060B7C"/>
    <w:multiLevelType w:val="hybridMultilevel"/>
    <w:tmpl w:val="7D86192C"/>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70962C3"/>
    <w:multiLevelType w:val="hybridMultilevel"/>
    <w:tmpl w:val="4380DA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15:restartNumberingAfterBreak="0">
    <w:nsid w:val="78065CF3"/>
    <w:multiLevelType w:val="hybridMultilevel"/>
    <w:tmpl w:val="538A68B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15:restartNumberingAfterBreak="0">
    <w:nsid w:val="78594223"/>
    <w:multiLevelType w:val="hybridMultilevel"/>
    <w:tmpl w:val="DE30957C"/>
    <w:lvl w:ilvl="0" w:tplc="17BE1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5"/>
  </w:num>
  <w:num w:numId="3">
    <w:abstractNumId w:val="26"/>
  </w:num>
  <w:num w:numId="4">
    <w:abstractNumId w:val="0"/>
  </w:num>
  <w:num w:numId="5">
    <w:abstractNumId w:val="23"/>
  </w:num>
  <w:num w:numId="6">
    <w:abstractNumId w:val="41"/>
  </w:num>
  <w:num w:numId="7">
    <w:abstractNumId w:val="24"/>
  </w:num>
  <w:num w:numId="8">
    <w:abstractNumId w:val="39"/>
  </w:num>
  <w:num w:numId="9">
    <w:abstractNumId w:val="37"/>
  </w:num>
  <w:num w:numId="10">
    <w:abstractNumId w:val="16"/>
  </w:num>
  <w:num w:numId="11">
    <w:abstractNumId w:val="11"/>
  </w:num>
  <w:num w:numId="12">
    <w:abstractNumId w:val="30"/>
  </w:num>
  <w:num w:numId="13">
    <w:abstractNumId w:val="18"/>
  </w:num>
  <w:num w:numId="14">
    <w:abstractNumId w:val="36"/>
  </w:num>
  <w:num w:numId="15">
    <w:abstractNumId w:val="42"/>
  </w:num>
  <w:num w:numId="16">
    <w:abstractNumId w:val="9"/>
  </w:num>
  <w:num w:numId="17">
    <w:abstractNumId w:val="17"/>
  </w:num>
  <w:num w:numId="18">
    <w:abstractNumId w:val="25"/>
  </w:num>
  <w:num w:numId="19">
    <w:abstractNumId w:val="14"/>
  </w:num>
  <w:num w:numId="20">
    <w:abstractNumId w:val="27"/>
  </w:num>
  <w:num w:numId="21">
    <w:abstractNumId w:val="2"/>
  </w:num>
  <w:num w:numId="22">
    <w:abstractNumId w:val="20"/>
  </w:num>
  <w:num w:numId="23">
    <w:abstractNumId w:val="21"/>
  </w:num>
  <w:num w:numId="24">
    <w:abstractNumId w:val="8"/>
  </w:num>
  <w:num w:numId="25">
    <w:abstractNumId w:val="33"/>
  </w:num>
  <w:num w:numId="26">
    <w:abstractNumId w:val="40"/>
  </w:num>
  <w:num w:numId="27">
    <w:abstractNumId w:val="10"/>
  </w:num>
  <w:num w:numId="28">
    <w:abstractNumId w:val="6"/>
  </w:num>
  <w:num w:numId="29">
    <w:abstractNumId w:val="31"/>
  </w:num>
  <w:num w:numId="30">
    <w:abstractNumId w:val="22"/>
  </w:num>
  <w:num w:numId="31">
    <w:abstractNumId w:val="32"/>
  </w:num>
  <w:num w:numId="32">
    <w:abstractNumId w:val="43"/>
  </w:num>
  <w:num w:numId="33">
    <w:abstractNumId w:val="4"/>
  </w:num>
  <w:num w:numId="34">
    <w:abstractNumId w:val="34"/>
  </w:num>
  <w:num w:numId="35">
    <w:abstractNumId w:val="28"/>
  </w:num>
  <w:num w:numId="36">
    <w:abstractNumId w:val="29"/>
  </w:num>
  <w:num w:numId="37">
    <w:abstractNumId w:val="13"/>
  </w:num>
  <w:num w:numId="38">
    <w:abstractNumId w:val="5"/>
  </w:num>
  <w:num w:numId="39">
    <w:abstractNumId w:val="7"/>
  </w:num>
  <w:num w:numId="40">
    <w:abstractNumId w:val="15"/>
  </w:num>
  <w:num w:numId="41">
    <w:abstractNumId w:val="19"/>
  </w:num>
  <w:num w:numId="42">
    <w:abstractNumId w:val="12"/>
  </w:num>
  <w:num w:numId="43">
    <w:abstractNumId w:val="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96"/>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73"/>
    <w:rsid w:val="00000E6E"/>
    <w:rsid w:val="00002205"/>
    <w:rsid w:val="000041DE"/>
    <w:rsid w:val="0000513D"/>
    <w:rsid w:val="00006DD7"/>
    <w:rsid w:val="00007F4B"/>
    <w:rsid w:val="00010486"/>
    <w:rsid w:val="00013680"/>
    <w:rsid w:val="00013A8E"/>
    <w:rsid w:val="000145EC"/>
    <w:rsid w:val="00014D52"/>
    <w:rsid w:val="00015206"/>
    <w:rsid w:val="000155A3"/>
    <w:rsid w:val="00015EF9"/>
    <w:rsid w:val="00016B9C"/>
    <w:rsid w:val="00016CC6"/>
    <w:rsid w:val="00020242"/>
    <w:rsid w:val="00021059"/>
    <w:rsid w:val="000217CE"/>
    <w:rsid w:val="0002330B"/>
    <w:rsid w:val="00024108"/>
    <w:rsid w:val="00025ED2"/>
    <w:rsid w:val="000270F8"/>
    <w:rsid w:val="000275B9"/>
    <w:rsid w:val="000275D8"/>
    <w:rsid w:val="000276C0"/>
    <w:rsid w:val="00027E7E"/>
    <w:rsid w:val="00030AFC"/>
    <w:rsid w:val="000322BC"/>
    <w:rsid w:val="00032534"/>
    <w:rsid w:val="00033481"/>
    <w:rsid w:val="0003363C"/>
    <w:rsid w:val="00034AFD"/>
    <w:rsid w:val="00035E18"/>
    <w:rsid w:val="00036703"/>
    <w:rsid w:val="0003682D"/>
    <w:rsid w:val="0003688E"/>
    <w:rsid w:val="00036946"/>
    <w:rsid w:val="00036B30"/>
    <w:rsid w:val="000402B9"/>
    <w:rsid w:val="00040B90"/>
    <w:rsid w:val="00040BA2"/>
    <w:rsid w:val="000410ED"/>
    <w:rsid w:val="00042E02"/>
    <w:rsid w:val="00045238"/>
    <w:rsid w:val="0004649B"/>
    <w:rsid w:val="0004763F"/>
    <w:rsid w:val="000476CA"/>
    <w:rsid w:val="00050A84"/>
    <w:rsid w:val="00051743"/>
    <w:rsid w:val="00052ED4"/>
    <w:rsid w:val="00053997"/>
    <w:rsid w:val="00054D0B"/>
    <w:rsid w:val="00055596"/>
    <w:rsid w:val="00056DAD"/>
    <w:rsid w:val="0005769C"/>
    <w:rsid w:val="0006032D"/>
    <w:rsid w:val="0006074F"/>
    <w:rsid w:val="0006086F"/>
    <w:rsid w:val="00061F17"/>
    <w:rsid w:val="0006204E"/>
    <w:rsid w:val="00062366"/>
    <w:rsid w:val="000643E8"/>
    <w:rsid w:val="000650D6"/>
    <w:rsid w:val="00065C94"/>
    <w:rsid w:val="00067684"/>
    <w:rsid w:val="00074F27"/>
    <w:rsid w:val="0007583F"/>
    <w:rsid w:val="00075E35"/>
    <w:rsid w:val="0007636C"/>
    <w:rsid w:val="00076694"/>
    <w:rsid w:val="000767B5"/>
    <w:rsid w:val="000771CB"/>
    <w:rsid w:val="0007730D"/>
    <w:rsid w:val="000816C9"/>
    <w:rsid w:val="0008286E"/>
    <w:rsid w:val="000828B5"/>
    <w:rsid w:val="00083131"/>
    <w:rsid w:val="00085A21"/>
    <w:rsid w:val="00085C78"/>
    <w:rsid w:val="00086DFB"/>
    <w:rsid w:val="00087FB9"/>
    <w:rsid w:val="000919BD"/>
    <w:rsid w:val="00093ACA"/>
    <w:rsid w:val="00094694"/>
    <w:rsid w:val="000949FB"/>
    <w:rsid w:val="000954B1"/>
    <w:rsid w:val="00096DC9"/>
    <w:rsid w:val="000A08E2"/>
    <w:rsid w:val="000A0D39"/>
    <w:rsid w:val="000A0F33"/>
    <w:rsid w:val="000A30D3"/>
    <w:rsid w:val="000A43C5"/>
    <w:rsid w:val="000A59DF"/>
    <w:rsid w:val="000A6972"/>
    <w:rsid w:val="000A6DF4"/>
    <w:rsid w:val="000B1329"/>
    <w:rsid w:val="000B1416"/>
    <w:rsid w:val="000B375B"/>
    <w:rsid w:val="000B49C9"/>
    <w:rsid w:val="000B5652"/>
    <w:rsid w:val="000B5C43"/>
    <w:rsid w:val="000B6656"/>
    <w:rsid w:val="000B7C95"/>
    <w:rsid w:val="000C0205"/>
    <w:rsid w:val="000C0706"/>
    <w:rsid w:val="000C0C45"/>
    <w:rsid w:val="000C47C0"/>
    <w:rsid w:val="000C54E0"/>
    <w:rsid w:val="000C5E29"/>
    <w:rsid w:val="000C6B08"/>
    <w:rsid w:val="000C6E98"/>
    <w:rsid w:val="000C7004"/>
    <w:rsid w:val="000D0A34"/>
    <w:rsid w:val="000D1B9C"/>
    <w:rsid w:val="000D3902"/>
    <w:rsid w:val="000D3972"/>
    <w:rsid w:val="000D4A6C"/>
    <w:rsid w:val="000D5480"/>
    <w:rsid w:val="000D5D9A"/>
    <w:rsid w:val="000D68FD"/>
    <w:rsid w:val="000D6E58"/>
    <w:rsid w:val="000D724D"/>
    <w:rsid w:val="000D72CD"/>
    <w:rsid w:val="000E1906"/>
    <w:rsid w:val="000E1E6D"/>
    <w:rsid w:val="000E285E"/>
    <w:rsid w:val="000E368D"/>
    <w:rsid w:val="000E387E"/>
    <w:rsid w:val="000E5BB4"/>
    <w:rsid w:val="000E6091"/>
    <w:rsid w:val="000E6ACD"/>
    <w:rsid w:val="000E7D88"/>
    <w:rsid w:val="000F1370"/>
    <w:rsid w:val="000F2DFA"/>
    <w:rsid w:val="000F33B4"/>
    <w:rsid w:val="000F3560"/>
    <w:rsid w:val="000F56E4"/>
    <w:rsid w:val="000F5F2D"/>
    <w:rsid w:val="001000F0"/>
    <w:rsid w:val="00100CDF"/>
    <w:rsid w:val="00100E83"/>
    <w:rsid w:val="00101C72"/>
    <w:rsid w:val="00101DE7"/>
    <w:rsid w:val="001022CD"/>
    <w:rsid w:val="0010256A"/>
    <w:rsid w:val="00102A2E"/>
    <w:rsid w:val="00102BEA"/>
    <w:rsid w:val="00102E9B"/>
    <w:rsid w:val="00104563"/>
    <w:rsid w:val="00104C76"/>
    <w:rsid w:val="0010522B"/>
    <w:rsid w:val="00107791"/>
    <w:rsid w:val="0011053D"/>
    <w:rsid w:val="00110D4C"/>
    <w:rsid w:val="0011108D"/>
    <w:rsid w:val="0011126B"/>
    <w:rsid w:val="0011148B"/>
    <w:rsid w:val="001119B0"/>
    <w:rsid w:val="0011294A"/>
    <w:rsid w:val="00113EB2"/>
    <w:rsid w:val="00114609"/>
    <w:rsid w:val="00115E4A"/>
    <w:rsid w:val="00116F0A"/>
    <w:rsid w:val="001205D0"/>
    <w:rsid w:val="0012090A"/>
    <w:rsid w:val="00121311"/>
    <w:rsid w:val="0012348A"/>
    <w:rsid w:val="00125726"/>
    <w:rsid w:val="00125D11"/>
    <w:rsid w:val="00125EA6"/>
    <w:rsid w:val="001268A2"/>
    <w:rsid w:val="00126EDB"/>
    <w:rsid w:val="00130DD1"/>
    <w:rsid w:val="00131303"/>
    <w:rsid w:val="001317C2"/>
    <w:rsid w:val="00131D33"/>
    <w:rsid w:val="00132808"/>
    <w:rsid w:val="001348E0"/>
    <w:rsid w:val="001349C7"/>
    <w:rsid w:val="00134BE9"/>
    <w:rsid w:val="00135832"/>
    <w:rsid w:val="00135DE5"/>
    <w:rsid w:val="00136601"/>
    <w:rsid w:val="00137A06"/>
    <w:rsid w:val="00140390"/>
    <w:rsid w:val="001427DF"/>
    <w:rsid w:val="001434E3"/>
    <w:rsid w:val="00144762"/>
    <w:rsid w:val="001464DA"/>
    <w:rsid w:val="00146617"/>
    <w:rsid w:val="00150C08"/>
    <w:rsid w:val="00150DC8"/>
    <w:rsid w:val="00150F0B"/>
    <w:rsid w:val="00151B25"/>
    <w:rsid w:val="00151DB2"/>
    <w:rsid w:val="00152C9C"/>
    <w:rsid w:val="00153A0E"/>
    <w:rsid w:val="00153B67"/>
    <w:rsid w:val="00154C66"/>
    <w:rsid w:val="00154D34"/>
    <w:rsid w:val="00155B8F"/>
    <w:rsid w:val="00156B28"/>
    <w:rsid w:val="00156EED"/>
    <w:rsid w:val="0015722A"/>
    <w:rsid w:val="00157393"/>
    <w:rsid w:val="0015759B"/>
    <w:rsid w:val="001610A5"/>
    <w:rsid w:val="00162821"/>
    <w:rsid w:val="00164C14"/>
    <w:rsid w:val="00164D11"/>
    <w:rsid w:val="001660D5"/>
    <w:rsid w:val="00166838"/>
    <w:rsid w:val="0017066E"/>
    <w:rsid w:val="001709DB"/>
    <w:rsid w:val="001713E5"/>
    <w:rsid w:val="0017292E"/>
    <w:rsid w:val="00173339"/>
    <w:rsid w:val="00175308"/>
    <w:rsid w:val="00175A13"/>
    <w:rsid w:val="001803B5"/>
    <w:rsid w:val="0018261F"/>
    <w:rsid w:val="00182987"/>
    <w:rsid w:val="00184FA9"/>
    <w:rsid w:val="00186568"/>
    <w:rsid w:val="0019071E"/>
    <w:rsid w:val="001918AA"/>
    <w:rsid w:val="00191E42"/>
    <w:rsid w:val="00191EEF"/>
    <w:rsid w:val="001923C3"/>
    <w:rsid w:val="001936B5"/>
    <w:rsid w:val="00193C18"/>
    <w:rsid w:val="00194557"/>
    <w:rsid w:val="0019521E"/>
    <w:rsid w:val="001979D2"/>
    <w:rsid w:val="001A0B2B"/>
    <w:rsid w:val="001A0CA8"/>
    <w:rsid w:val="001A0EE2"/>
    <w:rsid w:val="001A124A"/>
    <w:rsid w:val="001A1BA3"/>
    <w:rsid w:val="001A2EDF"/>
    <w:rsid w:val="001A38DA"/>
    <w:rsid w:val="001A5C1F"/>
    <w:rsid w:val="001B0414"/>
    <w:rsid w:val="001B0847"/>
    <w:rsid w:val="001B0D85"/>
    <w:rsid w:val="001B0F3B"/>
    <w:rsid w:val="001B13E4"/>
    <w:rsid w:val="001B1A48"/>
    <w:rsid w:val="001B1F38"/>
    <w:rsid w:val="001B2451"/>
    <w:rsid w:val="001B2B57"/>
    <w:rsid w:val="001B3392"/>
    <w:rsid w:val="001B6A07"/>
    <w:rsid w:val="001C0021"/>
    <w:rsid w:val="001C034C"/>
    <w:rsid w:val="001C07EC"/>
    <w:rsid w:val="001C163E"/>
    <w:rsid w:val="001C30A1"/>
    <w:rsid w:val="001C44EB"/>
    <w:rsid w:val="001C4C30"/>
    <w:rsid w:val="001C4D7F"/>
    <w:rsid w:val="001C5D38"/>
    <w:rsid w:val="001D2705"/>
    <w:rsid w:val="001D3B9B"/>
    <w:rsid w:val="001D4655"/>
    <w:rsid w:val="001D4D37"/>
    <w:rsid w:val="001D5EFE"/>
    <w:rsid w:val="001D62EF"/>
    <w:rsid w:val="001D6E6F"/>
    <w:rsid w:val="001D720A"/>
    <w:rsid w:val="001D7593"/>
    <w:rsid w:val="001D7A8D"/>
    <w:rsid w:val="001D7ED1"/>
    <w:rsid w:val="001E038F"/>
    <w:rsid w:val="001E2C37"/>
    <w:rsid w:val="001E2F88"/>
    <w:rsid w:val="001E3D1C"/>
    <w:rsid w:val="001E3F1E"/>
    <w:rsid w:val="001E625E"/>
    <w:rsid w:val="001F1719"/>
    <w:rsid w:val="001F1799"/>
    <w:rsid w:val="001F206C"/>
    <w:rsid w:val="001F282F"/>
    <w:rsid w:val="001F2EFD"/>
    <w:rsid w:val="001F3984"/>
    <w:rsid w:val="001F4100"/>
    <w:rsid w:val="001F5A01"/>
    <w:rsid w:val="001F65E1"/>
    <w:rsid w:val="00200A64"/>
    <w:rsid w:val="00201C3A"/>
    <w:rsid w:val="00203A1D"/>
    <w:rsid w:val="00203E4D"/>
    <w:rsid w:val="0020519A"/>
    <w:rsid w:val="00205B55"/>
    <w:rsid w:val="00207697"/>
    <w:rsid w:val="002105BF"/>
    <w:rsid w:val="00210B25"/>
    <w:rsid w:val="00211F4D"/>
    <w:rsid w:val="002128D5"/>
    <w:rsid w:val="00212B38"/>
    <w:rsid w:val="0021423E"/>
    <w:rsid w:val="00214477"/>
    <w:rsid w:val="002145A5"/>
    <w:rsid w:val="00214C12"/>
    <w:rsid w:val="00214D0F"/>
    <w:rsid w:val="00214F94"/>
    <w:rsid w:val="0021503B"/>
    <w:rsid w:val="002154C9"/>
    <w:rsid w:val="002205DD"/>
    <w:rsid w:val="00220E43"/>
    <w:rsid w:val="00220E69"/>
    <w:rsid w:val="002210FD"/>
    <w:rsid w:val="00222994"/>
    <w:rsid w:val="0022348F"/>
    <w:rsid w:val="00225BFD"/>
    <w:rsid w:val="00226D77"/>
    <w:rsid w:val="0022785B"/>
    <w:rsid w:val="0023097D"/>
    <w:rsid w:val="00230CC2"/>
    <w:rsid w:val="00231CB5"/>
    <w:rsid w:val="00231D9F"/>
    <w:rsid w:val="002324D0"/>
    <w:rsid w:val="0023343F"/>
    <w:rsid w:val="00233459"/>
    <w:rsid w:val="00233B7B"/>
    <w:rsid w:val="00234217"/>
    <w:rsid w:val="002373DB"/>
    <w:rsid w:val="00240FC1"/>
    <w:rsid w:val="00240FFA"/>
    <w:rsid w:val="00241410"/>
    <w:rsid w:val="00241485"/>
    <w:rsid w:val="002415F1"/>
    <w:rsid w:val="002419CD"/>
    <w:rsid w:val="00241CD6"/>
    <w:rsid w:val="00241E9A"/>
    <w:rsid w:val="0024231F"/>
    <w:rsid w:val="002428E5"/>
    <w:rsid w:val="00243171"/>
    <w:rsid w:val="00243669"/>
    <w:rsid w:val="00243900"/>
    <w:rsid w:val="00243A19"/>
    <w:rsid w:val="002447C2"/>
    <w:rsid w:val="00244CA0"/>
    <w:rsid w:val="00245632"/>
    <w:rsid w:val="00245BD7"/>
    <w:rsid w:val="00247664"/>
    <w:rsid w:val="00251175"/>
    <w:rsid w:val="00251345"/>
    <w:rsid w:val="00254858"/>
    <w:rsid w:val="00255EE5"/>
    <w:rsid w:val="00256505"/>
    <w:rsid w:val="00256510"/>
    <w:rsid w:val="002575A1"/>
    <w:rsid w:val="00260784"/>
    <w:rsid w:val="002609A6"/>
    <w:rsid w:val="002613DF"/>
    <w:rsid w:val="0026233C"/>
    <w:rsid w:val="0026282C"/>
    <w:rsid w:val="002629B3"/>
    <w:rsid w:val="00262ED8"/>
    <w:rsid w:val="0026331E"/>
    <w:rsid w:val="00265484"/>
    <w:rsid w:val="00266D6D"/>
    <w:rsid w:val="00270362"/>
    <w:rsid w:val="00270658"/>
    <w:rsid w:val="0027180D"/>
    <w:rsid w:val="00271B7D"/>
    <w:rsid w:val="00272944"/>
    <w:rsid w:val="00272BC4"/>
    <w:rsid w:val="00273EAF"/>
    <w:rsid w:val="00274943"/>
    <w:rsid w:val="00276A9C"/>
    <w:rsid w:val="00277351"/>
    <w:rsid w:val="002776B8"/>
    <w:rsid w:val="00277B6D"/>
    <w:rsid w:val="002807C3"/>
    <w:rsid w:val="00280903"/>
    <w:rsid w:val="00280E3D"/>
    <w:rsid w:val="00282DAA"/>
    <w:rsid w:val="00285170"/>
    <w:rsid w:val="002873F0"/>
    <w:rsid w:val="002903AE"/>
    <w:rsid w:val="0029099B"/>
    <w:rsid w:val="00290A05"/>
    <w:rsid w:val="002914BE"/>
    <w:rsid w:val="00292E4D"/>
    <w:rsid w:val="002935C9"/>
    <w:rsid w:val="00293981"/>
    <w:rsid w:val="002940F8"/>
    <w:rsid w:val="002946BD"/>
    <w:rsid w:val="002954D0"/>
    <w:rsid w:val="00295531"/>
    <w:rsid w:val="00296B3C"/>
    <w:rsid w:val="00297337"/>
    <w:rsid w:val="00297C3C"/>
    <w:rsid w:val="002A0C3B"/>
    <w:rsid w:val="002A130D"/>
    <w:rsid w:val="002A237A"/>
    <w:rsid w:val="002A3B89"/>
    <w:rsid w:val="002A540D"/>
    <w:rsid w:val="002A5423"/>
    <w:rsid w:val="002A5881"/>
    <w:rsid w:val="002A5D29"/>
    <w:rsid w:val="002A70F6"/>
    <w:rsid w:val="002A77BE"/>
    <w:rsid w:val="002A7CF3"/>
    <w:rsid w:val="002B15CE"/>
    <w:rsid w:val="002B1807"/>
    <w:rsid w:val="002B2134"/>
    <w:rsid w:val="002B3356"/>
    <w:rsid w:val="002B46AD"/>
    <w:rsid w:val="002B477F"/>
    <w:rsid w:val="002B5415"/>
    <w:rsid w:val="002B67AC"/>
    <w:rsid w:val="002C0173"/>
    <w:rsid w:val="002C0AD6"/>
    <w:rsid w:val="002C0F56"/>
    <w:rsid w:val="002C457B"/>
    <w:rsid w:val="002C5241"/>
    <w:rsid w:val="002C6532"/>
    <w:rsid w:val="002C6FE4"/>
    <w:rsid w:val="002C707E"/>
    <w:rsid w:val="002C79B1"/>
    <w:rsid w:val="002C7FB2"/>
    <w:rsid w:val="002D046F"/>
    <w:rsid w:val="002D0FCC"/>
    <w:rsid w:val="002D110B"/>
    <w:rsid w:val="002D1F03"/>
    <w:rsid w:val="002D2846"/>
    <w:rsid w:val="002D2E91"/>
    <w:rsid w:val="002D2FAF"/>
    <w:rsid w:val="002D3196"/>
    <w:rsid w:val="002D3E1C"/>
    <w:rsid w:val="002D47AA"/>
    <w:rsid w:val="002D5497"/>
    <w:rsid w:val="002D5534"/>
    <w:rsid w:val="002D5A49"/>
    <w:rsid w:val="002D6213"/>
    <w:rsid w:val="002D6E9E"/>
    <w:rsid w:val="002E0B54"/>
    <w:rsid w:val="002E0E79"/>
    <w:rsid w:val="002E0EA8"/>
    <w:rsid w:val="002E4082"/>
    <w:rsid w:val="002E5A4D"/>
    <w:rsid w:val="002E7343"/>
    <w:rsid w:val="002E7A4F"/>
    <w:rsid w:val="002E7C8F"/>
    <w:rsid w:val="002F0C42"/>
    <w:rsid w:val="002F1285"/>
    <w:rsid w:val="002F238A"/>
    <w:rsid w:val="002F2660"/>
    <w:rsid w:val="002F2E2A"/>
    <w:rsid w:val="002F38FB"/>
    <w:rsid w:val="002F3D25"/>
    <w:rsid w:val="002F43B1"/>
    <w:rsid w:val="002F50AB"/>
    <w:rsid w:val="002F5F15"/>
    <w:rsid w:val="002F6966"/>
    <w:rsid w:val="003012B0"/>
    <w:rsid w:val="003018CC"/>
    <w:rsid w:val="00302743"/>
    <w:rsid w:val="0030290F"/>
    <w:rsid w:val="00304F3E"/>
    <w:rsid w:val="00304FB6"/>
    <w:rsid w:val="003055EF"/>
    <w:rsid w:val="003059CA"/>
    <w:rsid w:val="00307583"/>
    <w:rsid w:val="00307E4B"/>
    <w:rsid w:val="0031015E"/>
    <w:rsid w:val="00310244"/>
    <w:rsid w:val="0031059D"/>
    <w:rsid w:val="00310C94"/>
    <w:rsid w:val="00310D38"/>
    <w:rsid w:val="00312488"/>
    <w:rsid w:val="003148FF"/>
    <w:rsid w:val="00315A66"/>
    <w:rsid w:val="00315F1E"/>
    <w:rsid w:val="00317542"/>
    <w:rsid w:val="00317E6E"/>
    <w:rsid w:val="00322351"/>
    <w:rsid w:val="00323CAA"/>
    <w:rsid w:val="003240FE"/>
    <w:rsid w:val="00324787"/>
    <w:rsid w:val="00324E20"/>
    <w:rsid w:val="003265EB"/>
    <w:rsid w:val="00326D6C"/>
    <w:rsid w:val="00327D77"/>
    <w:rsid w:val="003313B6"/>
    <w:rsid w:val="0033260B"/>
    <w:rsid w:val="003326AE"/>
    <w:rsid w:val="00332AAF"/>
    <w:rsid w:val="003343E9"/>
    <w:rsid w:val="00336295"/>
    <w:rsid w:val="0034025D"/>
    <w:rsid w:val="003402A9"/>
    <w:rsid w:val="003416F0"/>
    <w:rsid w:val="003418AE"/>
    <w:rsid w:val="0034267F"/>
    <w:rsid w:val="003437FB"/>
    <w:rsid w:val="003438DF"/>
    <w:rsid w:val="00344528"/>
    <w:rsid w:val="003445D1"/>
    <w:rsid w:val="003445DC"/>
    <w:rsid w:val="00344761"/>
    <w:rsid w:val="0034670F"/>
    <w:rsid w:val="003513D2"/>
    <w:rsid w:val="0035165B"/>
    <w:rsid w:val="00351857"/>
    <w:rsid w:val="00351B0F"/>
    <w:rsid w:val="00351CB4"/>
    <w:rsid w:val="00351DB3"/>
    <w:rsid w:val="00352B9D"/>
    <w:rsid w:val="00353EA3"/>
    <w:rsid w:val="003547C4"/>
    <w:rsid w:val="0035594B"/>
    <w:rsid w:val="00355A13"/>
    <w:rsid w:val="00357901"/>
    <w:rsid w:val="00360181"/>
    <w:rsid w:val="00360F57"/>
    <w:rsid w:val="00361816"/>
    <w:rsid w:val="00362834"/>
    <w:rsid w:val="00363B46"/>
    <w:rsid w:val="00365B4B"/>
    <w:rsid w:val="00366257"/>
    <w:rsid w:val="00366F68"/>
    <w:rsid w:val="00367580"/>
    <w:rsid w:val="00367AF7"/>
    <w:rsid w:val="0037049B"/>
    <w:rsid w:val="0037107E"/>
    <w:rsid w:val="003710B7"/>
    <w:rsid w:val="00371281"/>
    <w:rsid w:val="00371D06"/>
    <w:rsid w:val="00372BB4"/>
    <w:rsid w:val="00372E38"/>
    <w:rsid w:val="00373012"/>
    <w:rsid w:val="00373E11"/>
    <w:rsid w:val="003746B1"/>
    <w:rsid w:val="00374E47"/>
    <w:rsid w:val="0037514F"/>
    <w:rsid w:val="003753EA"/>
    <w:rsid w:val="00375E24"/>
    <w:rsid w:val="0037626B"/>
    <w:rsid w:val="003767F9"/>
    <w:rsid w:val="0037758E"/>
    <w:rsid w:val="00380388"/>
    <w:rsid w:val="0038097D"/>
    <w:rsid w:val="00381C8E"/>
    <w:rsid w:val="00381E7F"/>
    <w:rsid w:val="00382BEC"/>
    <w:rsid w:val="00384E01"/>
    <w:rsid w:val="00385500"/>
    <w:rsid w:val="0038620E"/>
    <w:rsid w:val="00386ED5"/>
    <w:rsid w:val="00387613"/>
    <w:rsid w:val="003876A2"/>
    <w:rsid w:val="0039068A"/>
    <w:rsid w:val="00390AAA"/>
    <w:rsid w:val="003928FD"/>
    <w:rsid w:val="00392AC9"/>
    <w:rsid w:val="00392B47"/>
    <w:rsid w:val="00393305"/>
    <w:rsid w:val="00393971"/>
    <w:rsid w:val="0039408F"/>
    <w:rsid w:val="00394A23"/>
    <w:rsid w:val="00395A39"/>
    <w:rsid w:val="003965C5"/>
    <w:rsid w:val="003975E6"/>
    <w:rsid w:val="00397E90"/>
    <w:rsid w:val="003A0018"/>
    <w:rsid w:val="003A0FE8"/>
    <w:rsid w:val="003A1476"/>
    <w:rsid w:val="003A2190"/>
    <w:rsid w:val="003A2874"/>
    <w:rsid w:val="003A2EC1"/>
    <w:rsid w:val="003A36D4"/>
    <w:rsid w:val="003A408D"/>
    <w:rsid w:val="003A5000"/>
    <w:rsid w:val="003A5D29"/>
    <w:rsid w:val="003A672E"/>
    <w:rsid w:val="003A736A"/>
    <w:rsid w:val="003A7440"/>
    <w:rsid w:val="003B129E"/>
    <w:rsid w:val="003B48DC"/>
    <w:rsid w:val="003B5167"/>
    <w:rsid w:val="003B536D"/>
    <w:rsid w:val="003B599E"/>
    <w:rsid w:val="003B660E"/>
    <w:rsid w:val="003B70E8"/>
    <w:rsid w:val="003C1F56"/>
    <w:rsid w:val="003C201A"/>
    <w:rsid w:val="003C3EF5"/>
    <w:rsid w:val="003C6373"/>
    <w:rsid w:val="003C7E21"/>
    <w:rsid w:val="003D2A37"/>
    <w:rsid w:val="003D4BA4"/>
    <w:rsid w:val="003D5763"/>
    <w:rsid w:val="003D6163"/>
    <w:rsid w:val="003D62DE"/>
    <w:rsid w:val="003D6BE8"/>
    <w:rsid w:val="003D718F"/>
    <w:rsid w:val="003D7793"/>
    <w:rsid w:val="003D7DC7"/>
    <w:rsid w:val="003D7FC8"/>
    <w:rsid w:val="003E1624"/>
    <w:rsid w:val="003E372E"/>
    <w:rsid w:val="003E3C37"/>
    <w:rsid w:val="003E67D4"/>
    <w:rsid w:val="003E6D93"/>
    <w:rsid w:val="003E6FC8"/>
    <w:rsid w:val="003E70EB"/>
    <w:rsid w:val="003E7365"/>
    <w:rsid w:val="003E7CAE"/>
    <w:rsid w:val="003F03D0"/>
    <w:rsid w:val="003F06D5"/>
    <w:rsid w:val="003F0BB7"/>
    <w:rsid w:val="003F0F9F"/>
    <w:rsid w:val="003F1F1A"/>
    <w:rsid w:val="003F2F4D"/>
    <w:rsid w:val="003F35B3"/>
    <w:rsid w:val="003F46C3"/>
    <w:rsid w:val="003F5B7B"/>
    <w:rsid w:val="003F5B94"/>
    <w:rsid w:val="003F635D"/>
    <w:rsid w:val="003F7D41"/>
    <w:rsid w:val="00401C0F"/>
    <w:rsid w:val="00402490"/>
    <w:rsid w:val="00402CE5"/>
    <w:rsid w:val="004033DD"/>
    <w:rsid w:val="00403676"/>
    <w:rsid w:val="00404257"/>
    <w:rsid w:val="00404293"/>
    <w:rsid w:val="004071CB"/>
    <w:rsid w:val="00410230"/>
    <w:rsid w:val="0041079B"/>
    <w:rsid w:val="00410FB2"/>
    <w:rsid w:val="004126D8"/>
    <w:rsid w:val="00412999"/>
    <w:rsid w:val="00413085"/>
    <w:rsid w:val="004148AC"/>
    <w:rsid w:val="004149B1"/>
    <w:rsid w:val="00414ECF"/>
    <w:rsid w:val="004152F5"/>
    <w:rsid w:val="00415A27"/>
    <w:rsid w:val="00415CE7"/>
    <w:rsid w:val="00416124"/>
    <w:rsid w:val="00416B35"/>
    <w:rsid w:val="00416D13"/>
    <w:rsid w:val="00417666"/>
    <w:rsid w:val="004202B9"/>
    <w:rsid w:val="004223DA"/>
    <w:rsid w:val="004242F6"/>
    <w:rsid w:val="00424477"/>
    <w:rsid w:val="0042466E"/>
    <w:rsid w:val="00424C0F"/>
    <w:rsid w:val="00425AA3"/>
    <w:rsid w:val="00426177"/>
    <w:rsid w:val="00426457"/>
    <w:rsid w:val="00427F2A"/>
    <w:rsid w:val="00431A0F"/>
    <w:rsid w:val="004336BA"/>
    <w:rsid w:val="00437D47"/>
    <w:rsid w:val="004400DE"/>
    <w:rsid w:val="0044031D"/>
    <w:rsid w:val="0044083B"/>
    <w:rsid w:val="00446E8C"/>
    <w:rsid w:val="004470C9"/>
    <w:rsid w:val="004476D1"/>
    <w:rsid w:val="00447B1B"/>
    <w:rsid w:val="00447F2A"/>
    <w:rsid w:val="00451E8C"/>
    <w:rsid w:val="00452963"/>
    <w:rsid w:val="00452B01"/>
    <w:rsid w:val="00452BD4"/>
    <w:rsid w:val="00453A72"/>
    <w:rsid w:val="004541A7"/>
    <w:rsid w:val="0045454D"/>
    <w:rsid w:val="00454E42"/>
    <w:rsid w:val="00455449"/>
    <w:rsid w:val="00456E5A"/>
    <w:rsid w:val="00456F73"/>
    <w:rsid w:val="004572DC"/>
    <w:rsid w:val="00457549"/>
    <w:rsid w:val="004577EE"/>
    <w:rsid w:val="00457E8D"/>
    <w:rsid w:val="00460DF1"/>
    <w:rsid w:val="00460F48"/>
    <w:rsid w:val="00461B5E"/>
    <w:rsid w:val="00464C4B"/>
    <w:rsid w:val="00464E96"/>
    <w:rsid w:val="00466012"/>
    <w:rsid w:val="00467009"/>
    <w:rsid w:val="00467494"/>
    <w:rsid w:val="004677BB"/>
    <w:rsid w:val="004723F5"/>
    <w:rsid w:val="004729E8"/>
    <w:rsid w:val="00475859"/>
    <w:rsid w:val="00475F63"/>
    <w:rsid w:val="004766E5"/>
    <w:rsid w:val="00476B62"/>
    <w:rsid w:val="004773E5"/>
    <w:rsid w:val="00480213"/>
    <w:rsid w:val="00480806"/>
    <w:rsid w:val="004808CF"/>
    <w:rsid w:val="004819F3"/>
    <w:rsid w:val="00483918"/>
    <w:rsid w:val="00484196"/>
    <w:rsid w:val="004846AD"/>
    <w:rsid w:val="004846BF"/>
    <w:rsid w:val="00486A01"/>
    <w:rsid w:val="00487884"/>
    <w:rsid w:val="00487A36"/>
    <w:rsid w:val="00490840"/>
    <w:rsid w:val="00490984"/>
    <w:rsid w:val="0049103C"/>
    <w:rsid w:val="00491105"/>
    <w:rsid w:val="00491585"/>
    <w:rsid w:val="00491648"/>
    <w:rsid w:val="004931F4"/>
    <w:rsid w:val="0049392E"/>
    <w:rsid w:val="004A06B8"/>
    <w:rsid w:val="004A09B4"/>
    <w:rsid w:val="004A0DC0"/>
    <w:rsid w:val="004A1477"/>
    <w:rsid w:val="004A23EE"/>
    <w:rsid w:val="004A2A4E"/>
    <w:rsid w:val="004A2CEE"/>
    <w:rsid w:val="004A4187"/>
    <w:rsid w:val="004A4427"/>
    <w:rsid w:val="004A44F7"/>
    <w:rsid w:val="004A553C"/>
    <w:rsid w:val="004A578F"/>
    <w:rsid w:val="004A5F0A"/>
    <w:rsid w:val="004A6865"/>
    <w:rsid w:val="004B12DA"/>
    <w:rsid w:val="004B1C4C"/>
    <w:rsid w:val="004B23E1"/>
    <w:rsid w:val="004B2E6B"/>
    <w:rsid w:val="004B3545"/>
    <w:rsid w:val="004B4282"/>
    <w:rsid w:val="004B4C50"/>
    <w:rsid w:val="004B4ED3"/>
    <w:rsid w:val="004B6A4A"/>
    <w:rsid w:val="004C0388"/>
    <w:rsid w:val="004C050C"/>
    <w:rsid w:val="004C0C92"/>
    <w:rsid w:val="004C3B84"/>
    <w:rsid w:val="004C40B6"/>
    <w:rsid w:val="004C4360"/>
    <w:rsid w:val="004C46E1"/>
    <w:rsid w:val="004C4729"/>
    <w:rsid w:val="004C48D4"/>
    <w:rsid w:val="004C4972"/>
    <w:rsid w:val="004C5159"/>
    <w:rsid w:val="004C6085"/>
    <w:rsid w:val="004C6367"/>
    <w:rsid w:val="004C6B89"/>
    <w:rsid w:val="004D00DA"/>
    <w:rsid w:val="004D1C8F"/>
    <w:rsid w:val="004D281A"/>
    <w:rsid w:val="004D3839"/>
    <w:rsid w:val="004D3EF7"/>
    <w:rsid w:val="004D41FF"/>
    <w:rsid w:val="004D4F4C"/>
    <w:rsid w:val="004D5C73"/>
    <w:rsid w:val="004D6751"/>
    <w:rsid w:val="004D67F5"/>
    <w:rsid w:val="004D6C30"/>
    <w:rsid w:val="004D742F"/>
    <w:rsid w:val="004D794D"/>
    <w:rsid w:val="004E050D"/>
    <w:rsid w:val="004E151C"/>
    <w:rsid w:val="004E2617"/>
    <w:rsid w:val="004E3533"/>
    <w:rsid w:val="004E3BEB"/>
    <w:rsid w:val="004E3D24"/>
    <w:rsid w:val="004E45C7"/>
    <w:rsid w:val="004E4653"/>
    <w:rsid w:val="004E4800"/>
    <w:rsid w:val="004E4E17"/>
    <w:rsid w:val="004E6270"/>
    <w:rsid w:val="004E66A4"/>
    <w:rsid w:val="004F013E"/>
    <w:rsid w:val="004F0E97"/>
    <w:rsid w:val="004F1744"/>
    <w:rsid w:val="004F3DFE"/>
    <w:rsid w:val="004F56BC"/>
    <w:rsid w:val="00500A4D"/>
    <w:rsid w:val="005014D0"/>
    <w:rsid w:val="0050184A"/>
    <w:rsid w:val="00502AFE"/>
    <w:rsid w:val="00503BBC"/>
    <w:rsid w:val="00504276"/>
    <w:rsid w:val="0050646D"/>
    <w:rsid w:val="005070A7"/>
    <w:rsid w:val="00507639"/>
    <w:rsid w:val="0050773B"/>
    <w:rsid w:val="005105B2"/>
    <w:rsid w:val="00511D73"/>
    <w:rsid w:val="0051272F"/>
    <w:rsid w:val="00514508"/>
    <w:rsid w:val="005169F0"/>
    <w:rsid w:val="005177DD"/>
    <w:rsid w:val="00521A65"/>
    <w:rsid w:val="005223F3"/>
    <w:rsid w:val="00522A4A"/>
    <w:rsid w:val="00523D34"/>
    <w:rsid w:val="005256E4"/>
    <w:rsid w:val="00525C4C"/>
    <w:rsid w:val="005260F2"/>
    <w:rsid w:val="00526283"/>
    <w:rsid w:val="00526D09"/>
    <w:rsid w:val="00527E0F"/>
    <w:rsid w:val="00527EAD"/>
    <w:rsid w:val="00530E04"/>
    <w:rsid w:val="00530F28"/>
    <w:rsid w:val="00531A60"/>
    <w:rsid w:val="00533ECD"/>
    <w:rsid w:val="00533EFA"/>
    <w:rsid w:val="005349CE"/>
    <w:rsid w:val="00534D9B"/>
    <w:rsid w:val="0053557B"/>
    <w:rsid w:val="00536ADE"/>
    <w:rsid w:val="00536C9E"/>
    <w:rsid w:val="00537636"/>
    <w:rsid w:val="0054277E"/>
    <w:rsid w:val="00543436"/>
    <w:rsid w:val="0054359C"/>
    <w:rsid w:val="00544C1C"/>
    <w:rsid w:val="00545070"/>
    <w:rsid w:val="005456DC"/>
    <w:rsid w:val="0054697D"/>
    <w:rsid w:val="00547F84"/>
    <w:rsid w:val="005509FA"/>
    <w:rsid w:val="00553633"/>
    <w:rsid w:val="005545F4"/>
    <w:rsid w:val="00556677"/>
    <w:rsid w:val="00562247"/>
    <w:rsid w:val="005624E7"/>
    <w:rsid w:val="00562941"/>
    <w:rsid w:val="00562DEA"/>
    <w:rsid w:val="0056302A"/>
    <w:rsid w:val="005634FA"/>
    <w:rsid w:val="005641F0"/>
    <w:rsid w:val="0056692A"/>
    <w:rsid w:val="00567450"/>
    <w:rsid w:val="00567CF0"/>
    <w:rsid w:val="00567EEE"/>
    <w:rsid w:val="00571884"/>
    <w:rsid w:val="00572742"/>
    <w:rsid w:val="00573488"/>
    <w:rsid w:val="00574E0D"/>
    <w:rsid w:val="0057590D"/>
    <w:rsid w:val="00575E2E"/>
    <w:rsid w:val="005760EE"/>
    <w:rsid w:val="005770D1"/>
    <w:rsid w:val="005806F7"/>
    <w:rsid w:val="00580DD2"/>
    <w:rsid w:val="00580F66"/>
    <w:rsid w:val="0058292B"/>
    <w:rsid w:val="00582BA4"/>
    <w:rsid w:val="0058345B"/>
    <w:rsid w:val="005844AC"/>
    <w:rsid w:val="0058517B"/>
    <w:rsid w:val="0058523A"/>
    <w:rsid w:val="00585995"/>
    <w:rsid w:val="0058722C"/>
    <w:rsid w:val="0058734A"/>
    <w:rsid w:val="005877E9"/>
    <w:rsid w:val="00593087"/>
    <w:rsid w:val="00593C30"/>
    <w:rsid w:val="00594856"/>
    <w:rsid w:val="00594FC8"/>
    <w:rsid w:val="00595FFF"/>
    <w:rsid w:val="0059665B"/>
    <w:rsid w:val="00596846"/>
    <w:rsid w:val="00596D4C"/>
    <w:rsid w:val="00597E2D"/>
    <w:rsid w:val="005A06B9"/>
    <w:rsid w:val="005A0992"/>
    <w:rsid w:val="005A1273"/>
    <w:rsid w:val="005A1440"/>
    <w:rsid w:val="005A1A73"/>
    <w:rsid w:val="005A1B52"/>
    <w:rsid w:val="005A2088"/>
    <w:rsid w:val="005A28A5"/>
    <w:rsid w:val="005A3F37"/>
    <w:rsid w:val="005A42D5"/>
    <w:rsid w:val="005A454A"/>
    <w:rsid w:val="005A4B93"/>
    <w:rsid w:val="005A4BEB"/>
    <w:rsid w:val="005A680C"/>
    <w:rsid w:val="005B041E"/>
    <w:rsid w:val="005B05B3"/>
    <w:rsid w:val="005B0EE9"/>
    <w:rsid w:val="005B11D9"/>
    <w:rsid w:val="005B1710"/>
    <w:rsid w:val="005B2630"/>
    <w:rsid w:val="005B2C46"/>
    <w:rsid w:val="005B2CE9"/>
    <w:rsid w:val="005B37B0"/>
    <w:rsid w:val="005B3E5F"/>
    <w:rsid w:val="005B6542"/>
    <w:rsid w:val="005B6563"/>
    <w:rsid w:val="005B65AC"/>
    <w:rsid w:val="005B6966"/>
    <w:rsid w:val="005B6F9A"/>
    <w:rsid w:val="005B7D00"/>
    <w:rsid w:val="005C11D6"/>
    <w:rsid w:val="005C1D5C"/>
    <w:rsid w:val="005C206C"/>
    <w:rsid w:val="005C22BE"/>
    <w:rsid w:val="005C4560"/>
    <w:rsid w:val="005C45E7"/>
    <w:rsid w:val="005C4DDF"/>
    <w:rsid w:val="005C673A"/>
    <w:rsid w:val="005C766B"/>
    <w:rsid w:val="005C7EB4"/>
    <w:rsid w:val="005D0CF8"/>
    <w:rsid w:val="005D0FB4"/>
    <w:rsid w:val="005D1A1B"/>
    <w:rsid w:val="005D38B9"/>
    <w:rsid w:val="005D401C"/>
    <w:rsid w:val="005D472A"/>
    <w:rsid w:val="005D4906"/>
    <w:rsid w:val="005D49CF"/>
    <w:rsid w:val="005D591A"/>
    <w:rsid w:val="005D5DA9"/>
    <w:rsid w:val="005D615E"/>
    <w:rsid w:val="005D622E"/>
    <w:rsid w:val="005D62BC"/>
    <w:rsid w:val="005E0FE4"/>
    <w:rsid w:val="005E1083"/>
    <w:rsid w:val="005E1FCB"/>
    <w:rsid w:val="005E2A76"/>
    <w:rsid w:val="005E2F6D"/>
    <w:rsid w:val="005E324F"/>
    <w:rsid w:val="005E3463"/>
    <w:rsid w:val="005E4C03"/>
    <w:rsid w:val="005E5E96"/>
    <w:rsid w:val="005E5F19"/>
    <w:rsid w:val="005E693A"/>
    <w:rsid w:val="005F09B0"/>
    <w:rsid w:val="005F0DD0"/>
    <w:rsid w:val="005F1065"/>
    <w:rsid w:val="005F1702"/>
    <w:rsid w:val="005F2117"/>
    <w:rsid w:val="005F2CAE"/>
    <w:rsid w:val="005F4970"/>
    <w:rsid w:val="005F5E48"/>
    <w:rsid w:val="005F7923"/>
    <w:rsid w:val="0060125F"/>
    <w:rsid w:val="006038B2"/>
    <w:rsid w:val="006045BD"/>
    <w:rsid w:val="00606317"/>
    <w:rsid w:val="0060719D"/>
    <w:rsid w:val="00607C27"/>
    <w:rsid w:val="0061003B"/>
    <w:rsid w:val="006103B5"/>
    <w:rsid w:val="00610563"/>
    <w:rsid w:val="00610B3C"/>
    <w:rsid w:val="00610EAD"/>
    <w:rsid w:val="00611D84"/>
    <w:rsid w:val="0061236F"/>
    <w:rsid w:val="0061251C"/>
    <w:rsid w:val="00612FCE"/>
    <w:rsid w:val="00613496"/>
    <w:rsid w:val="006136DF"/>
    <w:rsid w:val="006142A1"/>
    <w:rsid w:val="006145A5"/>
    <w:rsid w:val="00614AAD"/>
    <w:rsid w:val="006161B4"/>
    <w:rsid w:val="00616467"/>
    <w:rsid w:val="00616548"/>
    <w:rsid w:val="00616E2C"/>
    <w:rsid w:val="00616F59"/>
    <w:rsid w:val="00617695"/>
    <w:rsid w:val="0062131C"/>
    <w:rsid w:val="006216C5"/>
    <w:rsid w:val="00622B42"/>
    <w:rsid w:val="00624345"/>
    <w:rsid w:val="0062591D"/>
    <w:rsid w:val="00625E30"/>
    <w:rsid w:val="006268C1"/>
    <w:rsid w:val="006272CF"/>
    <w:rsid w:val="0062764A"/>
    <w:rsid w:val="00630218"/>
    <w:rsid w:val="00630318"/>
    <w:rsid w:val="00630F66"/>
    <w:rsid w:val="0063259B"/>
    <w:rsid w:val="0063271A"/>
    <w:rsid w:val="00633707"/>
    <w:rsid w:val="0063394E"/>
    <w:rsid w:val="006366DD"/>
    <w:rsid w:val="00636F14"/>
    <w:rsid w:val="0063759E"/>
    <w:rsid w:val="00640573"/>
    <w:rsid w:val="00640795"/>
    <w:rsid w:val="006409ED"/>
    <w:rsid w:val="0064193A"/>
    <w:rsid w:val="006441B9"/>
    <w:rsid w:val="006466AC"/>
    <w:rsid w:val="006475A5"/>
    <w:rsid w:val="0065034D"/>
    <w:rsid w:val="00650CB1"/>
    <w:rsid w:val="006521A3"/>
    <w:rsid w:val="0065388B"/>
    <w:rsid w:val="006539CB"/>
    <w:rsid w:val="006544B0"/>
    <w:rsid w:val="00657F65"/>
    <w:rsid w:val="00657F6E"/>
    <w:rsid w:val="006604DC"/>
    <w:rsid w:val="00660BB2"/>
    <w:rsid w:val="006620D5"/>
    <w:rsid w:val="00662A10"/>
    <w:rsid w:val="00663107"/>
    <w:rsid w:val="006632EB"/>
    <w:rsid w:val="0066367E"/>
    <w:rsid w:val="006643D9"/>
    <w:rsid w:val="0066759A"/>
    <w:rsid w:val="006679CC"/>
    <w:rsid w:val="00670819"/>
    <w:rsid w:val="00670B52"/>
    <w:rsid w:val="00670F1E"/>
    <w:rsid w:val="00671B36"/>
    <w:rsid w:val="00672693"/>
    <w:rsid w:val="006737BC"/>
    <w:rsid w:val="006739D5"/>
    <w:rsid w:val="00677EBF"/>
    <w:rsid w:val="00680DD6"/>
    <w:rsid w:val="00683A28"/>
    <w:rsid w:val="00683BCC"/>
    <w:rsid w:val="00683C17"/>
    <w:rsid w:val="0068540A"/>
    <w:rsid w:val="006869C1"/>
    <w:rsid w:val="006874F9"/>
    <w:rsid w:val="0069088F"/>
    <w:rsid w:val="00690CC2"/>
    <w:rsid w:val="00692B91"/>
    <w:rsid w:val="00692DC7"/>
    <w:rsid w:val="00693655"/>
    <w:rsid w:val="006943C1"/>
    <w:rsid w:val="00694C5A"/>
    <w:rsid w:val="006952BB"/>
    <w:rsid w:val="006959A6"/>
    <w:rsid w:val="00695A8B"/>
    <w:rsid w:val="0069628D"/>
    <w:rsid w:val="00696599"/>
    <w:rsid w:val="006977EE"/>
    <w:rsid w:val="00697CB8"/>
    <w:rsid w:val="006A0858"/>
    <w:rsid w:val="006A1C42"/>
    <w:rsid w:val="006A3021"/>
    <w:rsid w:val="006A365A"/>
    <w:rsid w:val="006A39AF"/>
    <w:rsid w:val="006A4020"/>
    <w:rsid w:val="006A55F4"/>
    <w:rsid w:val="006A790F"/>
    <w:rsid w:val="006A7BCB"/>
    <w:rsid w:val="006B0833"/>
    <w:rsid w:val="006B0CFC"/>
    <w:rsid w:val="006B1D2A"/>
    <w:rsid w:val="006B1FA8"/>
    <w:rsid w:val="006B2891"/>
    <w:rsid w:val="006B2A26"/>
    <w:rsid w:val="006B38A5"/>
    <w:rsid w:val="006B57DC"/>
    <w:rsid w:val="006B600F"/>
    <w:rsid w:val="006C07EE"/>
    <w:rsid w:val="006C10CA"/>
    <w:rsid w:val="006C26C1"/>
    <w:rsid w:val="006C393B"/>
    <w:rsid w:val="006C4189"/>
    <w:rsid w:val="006C5B3B"/>
    <w:rsid w:val="006C6AB5"/>
    <w:rsid w:val="006D005F"/>
    <w:rsid w:val="006D0176"/>
    <w:rsid w:val="006D089C"/>
    <w:rsid w:val="006D0936"/>
    <w:rsid w:val="006D1AD9"/>
    <w:rsid w:val="006D1FA9"/>
    <w:rsid w:val="006D22E6"/>
    <w:rsid w:val="006D3C19"/>
    <w:rsid w:val="006D3FD1"/>
    <w:rsid w:val="006D6C9E"/>
    <w:rsid w:val="006D7157"/>
    <w:rsid w:val="006E009E"/>
    <w:rsid w:val="006E12CF"/>
    <w:rsid w:val="006E17DF"/>
    <w:rsid w:val="006E19FE"/>
    <w:rsid w:val="006E1A87"/>
    <w:rsid w:val="006E1CAF"/>
    <w:rsid w:val="006E1D3E"/>
    <w:rsid w:val="006E4386"/>
    <w:rsid w:val="006E4539"/>
    <w:rsid w:val="006E4AF1"/>
    <w:rsid w:val="006E5D4C"/>
    <w:rsid w:val="006F0621"/>
    <w:rsid w:val="006F09E9"/>
    <w:rsid w:val="006F105E"/>
    <w:rsid w:val="006F17BA"/>
    <w:rsid w:val="006F2C29"/>
    <w:rsid w:val="006F4F3A"/>
    <w:rsid w:val="006F55BB"/>
    <w:rsid w:val="006F5604"/>
    <w:rsid w:val="006F5D7E"/>
    <w:rsid w:val="006F68BA"/>
    <w:rsid w:val="00703D5F"/>
    <w:rsid w:val="007040F7"/>
    <w:rsid w:val="007049E7"/>
    <w:rsid w:val="00711AC4"/>
    <w:rsid w:val="00711D4A"/>
    <w:rsid w:val="00713BDC"/>
    <w:rsid w:val="007143F8"/>
    <w:rsid w:val="007145C7"/>
    <w:rsid w:val="00715B59"/>
    <w:rsid w:val="0071775F"/>
    <w:rsid w:val="0072040F"/>
    <w:rsid w:val="0072061B"/>
    <w:rsid w:val="0072213E"/>
    <w:rsid w:val="007222E2"/>
    <w:rsid w:val="00723B02"/>
    <w:rsid w:val="00727733"/>
    <w:rsid w:val="00731854"/>
    <w:rsid w:val="00734D87"/>
    <w:rsid w:val="00736FBC"/>
    <w:rsid w:val="00737F44"/>
    <w:rsid w:val="00740B4D"/>
    <w:rsid w:val="0074192A"/>
    <w:rsid w:val="00743191"/>
    <w:rsid w:val="00744E34"/>
    <w:rsid w:val="007451DA"/>
    <w:rsid w:val="007461AA"/>
    <w:rsid w:val="00746ACA"/>
    <w:rsid w:val="0074759C"/>
    <w:rsid w:val="00747D8B"/>
    <w:rsid w:val="00750981"/>
    <w:rsid w:val="007519CD"/>
    <w:rsid w:val="00751DB5"/>
    <w:rsid w:val="00751E25"/>
    <w:rsid w:val="00754C57"/>
    <w:rsid w:val="007553DC"/>
    <w:rsid w:val="00755941"/>
    <w:rsid w:val="00755E38"/>
    <w:rsid w:val="00756616"/>
    <w:rsid w:val="00756FAD"/>
    <w:rsid w:val="0075709A"/>
    <w:rsid w:val="00757BC3"/>
    <w:rsid w:val="007603FD"/>
    <w:rsid w:val="00760911"/>
    <w:rsid w:val="00760DB0"/>
    <w:rsid w:val="00760ED0"/>
    <w:rsid w:val="00761092"/>
    <w:rsid w:val="0076198C"/>
    <w:rsid w:val="00763025"/>
    <w:rsid w:val="007634E5"/>
    <w:rsid w:val="00763ADF"/>
    <w:rsid w:val="00766F42"/>
    <w:rsid w:val="007670B5"/>
    <w:rsid w:val="00767D81"/>
    <w:rsid w:val="00771464"/>
    <w:rsid w:val="00771A34"/>
    <w:rsid w:val="00774426"/>
    <w:rsid w:val="007748F6"/>
    <w:rsid w:val="00774BED"/>
    <w:rsid w:val="0077594F"/>
    <w:rsid w:val="007805EB"/>
    <w:rsid w:val="00780A65"/>
    <w:rsid w:val="0078154F"/>
    <w:rsid w:val="0078227B"/>
    <w:rsid w:val="00782442"/>
    <w:rsid w:val="00783145"/>
    <w:rsid w:val="00783AED"/>
    <w:rsid w:val="0078454F"/>
    <w:rsid w:val="00784782"/>
    <w:rsid w:val="00785F23"/>
    <w:rsid w:val="007873E7"/>
    <w:rsid w:val="00787BB9"/>
    <w:rsid w:val="0079024F"/>
    <w:rsid w:val="007920F2"/>
    <w:rsid w:val="007926BF"/>
    <w:rsid w:val="00792F47"/>
    <w:rsid w:val="00793664"/>
    <w:rsid w:val="00794857"/>
    <w:rsid w:val="0079595D"/>
    <w:rsid w:val="007968BD"/>
    <w:rsid w:val="007977D0"/>
    <w:rsid w:val="007A05A4"/>
    <w:rsid w:val="007A0983"/>
    <w:rsid w:val="007A0AFC"/>
    <w:rsid w:val="007A0EAF"/>
    <w:rsid w:val="007A150E"/>
    <w:rsid w:val="007A32B2"/>
    <w:rsid w:val="007A3CEB"/>
    <w:rsid w:val="007A3D80"/>
    <w:rsid w:val="007A4147"/>
    <w:rsid w:val="007A5BCD"/>
    <w:rsid w:val="007A622A"/>
    <w:rsid w:val="007A651F"/>
    <w:rsid w:val="007A6987"/>
    <w:rsid w:val="007A74ED"/>
    <w:rsid w:val="007A7EE3"/>
    <w:rsid w:val="007B240A"/>
    <w:rsid w:val="007B2992"/>
    <w:rsid w:val="007B366F"/>
    <w:rsid w:val="007B54F5"/>
    <w:rsid w:val="007B6044"/>
    <w:rsid w:val="007B6247"/>
    <w:rsid w:val="007B679F"/>
    <w:rsid w:val="007B6C8D"/>
    <w:rsid w:val="007B748C"/>
    <w:rsid w:val="007B7A2A"/>
    <w:rsid w:val="007C0130"/>
    <w:rsid w:val="007C190E"/>
    <w:rsid w:val="007C1D3E"/>
    <w:rsid w:val="007C1DC9"/>
    <w:rsid w:val="007C201D"/>
    <w:rsid w:val="007C2020"/>
    <w:rsid w:val="007C2C4C"/>
    <w:rsid w:val="007C34C2"/>
    <w:rsid w:val="007C3D3B"/>
    <w:rsid w:val="007C40C0"/>
    <w:rsid w:val="007C5728"/>
    <w:rsid w:val="007C59EB"/>
    <w:rsid w:val="007C6BAC"/>
    <w:rsid w:val="007C6FDB"/>
    <w:rsid w:val="007C70B6"/>
    <w:rsid w:val="007C7BD5"/>
    <w:rsid w:val="007D07CE"/>
    <w:rsid w:val="007D1563"/>
    <w:rsid w:val="007D1AEE"/>
    <w:rsid w:val="007D33CA"/>
    <w:rsid w:val="007D3A59"/>
    <w:rsid w:val="007D49F7"/>
    <w:rsid w:val="007D6779"/>
    <w:rsid w:val="007D6C51"/>
    <w:rsid w:val="007D6FE8"/>
    <w:rsid w:val="007D79B5"/>
    <w:rsid w:val="007E06DF"/>
    <w:rsid w:val="007E07F4"/>
    <w:rsid w:val="007E0A76"/>
    <w:rsid w:val="007E0C5E"/>
    <w:rsid w:val="007E1E5F"/>
    <w:rsid w:val="007E23A6"/>
    <w:rsid w:val="007E362D"/>
    <w:rsid w:val="007E399B"/>
    <w:rsid w:val="007E42E0"/>
    <w:rsid w:val="007E501B"/>
    <w:rsid w:val="007E62BC"/>
    <w:rsid w:val="007E62E5"/>
    <w:rsid w:val="007F220D"/>
    <w:rsid w:val="007F269A"/>
    <w:rsid w:val="007F319D"/>
    <w:rsid w:val="007F35AD"/>
    <w:rsid w:val="007F4452"/>
    <w:rsid w:val="007F5728"/>
    <w:rsid w:val="007F57E7"/>
    <w:rsid w:val="007F6BF0"/>
    <w:rsid w:val="00803763"/>
    <w:rsid w:val="008043F7"/>
    <w:rsid w:val="00804570"/>
    <w:rsid w:val="00804A91"/>
    <w:rsid w:val="00804D8D"/>
    <w:rsid w:val="008053A5"/>
    <w:rsid w:val="0080668B"/>
    <w:rsid w:val="00806C21"/>
    <w:rsid w:val="0080760D"/>
    <w:rsid w:val="00807697"/>
    <w:rsid w:val="008078D7"/>
    <w:rsid w:val="00807CF2"/>
    <w:rsid w:val="00810A71"/>
    <w:rsid w:val="00812130"/>
    <w:rsid w:val="00812B59"/>
    <w:rsid w:val="00812BD0"/>
    <w:rsid w:val="00813240"/>
    <w:rsid w:val="00813995"/>
    <w:rsid w:val="0081479E"/>
    <w:rsid w:val="008147D4"/>
    <w:rsid w:val="00816039"/>
    <w:rsid w:val="008168CD"/>
    <w:rsid w:val="0081719B"/>
    <w:rsid w:val="0081780A"/>
    <w:rsid w:val="008210C0"/>
    <w:rsid w:val="008211CB"/>
    <w:rsid w:val="0082138E"/>
    <w:rsid w:val="00821743"/>
    <w:rsid w:val="00821C88"/>
    <w:rsid w:val="00821D95"/>
    <w:rsid w:val="00824407"/>
    <w:rsid w:val="00825417"/>
    <w:rsid w:val="008258B8"/>
    <w:rsid w:val="00827259"/>
    <w:rsid w:val="008279D6"/>
    <w:rsid w:val="00827E46"/>
    <w:rsid w:val="008318D5"/>
    <w:rsid w:val="0083190C"/>
    <w:rsid w:val="00831C2A"/>
    <w:rsid w:val="00832B5C"/>
    <w:rsid w:val="008341F1"/>
    <w:rsid w:val="00836CCE"/>
    <w:rsid w:val="00840575"/>
    <w:rsid w:val="00843008"/>
    <w:rsid w:val="00843C02"/>
    <w:rsid w:val="00845498"/>
    <w:rsid w:val="008459C3"/>
    <w:rsid w:val="0084717B"/>
    <w:rsid w:val="0084789A"/>
    <w:rsid w:val="0085108E"/>
    <w:rsid w:val="00851D32"/>
    <w:rsid w:val="0085490F"/>
    <w:rsid w:val="00854F34"/>
    <w:rsid w:val="00855F9D"/>
    <w:rsid w:val="008568B7"/>
    <w:rsid w:val="008609D9"/>
    <w:rsid w:val="00860A43"/>
    <w:rsid w:val="00860A89"/>
    <w:rsid w:val="00860EF5"/>
    <w:rsid w:val="0086270C"/>
    <w:rsid w:val="00862C37"/>
    <w:rsid w:val="008632D3"/>
    <w:rsid w:val="00864376"/>
    <w:rsid w:val="00865559"/>
    <w:rsid w:val="00866B38"/>
    <w:rsid w:val="00870EF0"/>
    <w:rsid w:val="00871294"/>
    <w:rsid w:val="00871495"/>
    <w:rsid w:val="00873287"/>
    <w:rsid w:val="00874524"/>
    <w:rsid w:val="0087738C"/>
    <w:rsid w:val="00877E72"/>
    <w:rsid w:val="0088174F"/>
    <w:rsid w:val="008819F1"/>
    <w:rsid w:val="00881A99"/>
    <w:rsid w:val="00881CA4"/>
    <w:rsid w:val="008837C6"/>
    <w:rsid w:val="0088459A"/>
    <w:rsid w:val="00884F9F"/>
    <w:rsid w:val="00885F27"/>
    <w:rsid w:val="00886B0A"/>
    <w:rsid w:val="008874D2"/>
    <w:rsid w:val="00890EB5"/>
    <w:rsid w:val="0089381C"/>
    <w:rsid w:val="00893890"/>
    <w:rsid w:val="008952DB"/>
    <w:rsid w:val="008952EF"/>
    <w:rsid w:val="00895702"/>
    <w:rsid w:val="00895F34"/>
    <w:rsid w:val="008960D9"/>
    <w:rsid w:val="0089636F"/>
    <w:rsid w:val="008A0FDE"/>
    <w:rsid w:val="008A150A"/>
    <w:rsid w:val="008A243A"/>
    <w:rsid w:val="008A258E"/>
    <w:rsid w:val="008A26A2"/>
    <w:rsid w:val="008A3118"/>
    <w:rsid w:val="008A31C4"/>
    <w:rsid w:val="008A3271"/>
    <w:rsid w:val="008A33EF"/>
    <w:rsid w:val="008A3E7F"/>
    <w:rsid w:val="008A5BCC"/>
    <w:rsid w:val="008A5F38"/>
    <w:rsid w:val="008A7694"/>
    <w:rsid w:val="008A7819"/>
    <w:rsid w:val="008A7EFC"/>
    <w:rsid w:val="008B0AB8"/>
    <w:rsid w:val="008B1DD0"/>
    <w:rsid w:val="008B2DE3"/>
    <w:rsid w:val="008B3101"/>
    <w:rsid w:val="008B3571"/>
    <w:rsid w:val="008B37DE"/>
    <w:rsid w:val="008B3E07"/>
    <w:rsid w:val="008B46A7"/>
    <w:rsid w:val="008B4AE5"/>
    <w:rsid w:val="008B56EC"/>
    <w:rsid w:val="008B5820"/>
    <w:rsid w:val="008B6B52"/>
    <w:rsid w:val="008B6DF3"/>
    <w:rsid w:val="008B79E3"/>
    <w:rsid w:val="008B7BF4"/>
    <w:rsid w:val="008B7D64"/>
    <w:rsid w:val="008B7E4A"/>
    <w:rsid w:val="008B7F24"/>
    <w:rsid w:val="008C0F68"/>
    <w:rsid w:val="008C277A"/>
    <w:rsid w:val="008C2F29"/>
    <w:rsid w:val="008C32E6"/>
    <w:rsid w:val="008C37BD"/>
    <w:rsid w:val="008C47A5"/>
    <w:rsid w:val="008C4F8B"/>
    <w:rsid w:val="008C56CF"/>
    <w:rsid w:val="008C5B02"/>
    <w:rsid w:val="008C6231"/>
    <w:rsid w:val="008C7F4C"/>
    <w:rsid w:val="008D0980"/>
    <w:rsid w:val="008D0BF3"/>
    <w:rsid w:val="008D282A"/>
    <w:rsid w:val="008D357C"/>
    <w:rsid w:val="008D37C2"/>
    <w:rsid w:val="008D6F4E"/>
    <w:rsid w:val="008D7B38"/>
    <w:rsid w:val="008D7E92"/>
    <w:rsid w:val="008E11A7"/>
    <w:rsid w:val="008E129A"/>
    <w:rsid w:val="008E1474"/>
    <w:rsid w:val="008E1692"/>
    <w:rsid w:val="008E1720"/>
    <w:rsid w:val="008E1F49"/>
    <w:rsid w:val="008E227C"/>
    <w:rsid w:val="008E27C3"/>
    <w:rsid w:val="008E2A37"/>
    <w:rsid w:val="008E361D"/>
    <w:rsid w:val="008E3762"/>
    <w:rsid w:val="008E40C2"/>
    <w:rsid w:val="008E466C"/>
    <w:rsid w:val="008E494D"/>
    <w:rsid w:val="008E5EBF"/>
    <w:rsid w:val="008E6772"/>
    <w:rsid w:val="008E6992"/>
    <w:rsid w:val="008E707D"/>
    <w:rsid w:val="008E71D4"/>
    <w:rsid w:val="008E7572"/>
    <w:rsid w:val="008F049A"/>
    <w:rsid w:val="008F26B6"/>
    <w:rsid w:val="008F3EDF"/>
    <w:rsid w:val="008F693D"/>
    <w:rsid w:val="008F6C0A"/>
    <w:rsid w:val="008F6DE4"/>
    <w:rsid w:val="008F7765"/>
    <w:rsid w:val="008F7792"/>
    <w:rsid w:val="008F7D05"/>
    <w:rsid w:val="0090113B"/>
    <w:rsid w:val="00904280"/>
    <w:rsid w:val="00904434"/>
    <w:rsid w:val="009045E1"/>
    <w:rsid w:val="009049E7"/>
    <w:rsid w:val="00904F8B"/>
    <w:rsid w:val="009056DA"/>
    <w:rsid w:val="00905E7A"/>
    <w:rsid w:val="00905F6D"/>
    <w:rsid w:val="00906851"/>
    <w:rsid w:val="00906A97"/>
    <w:rsid w:val="00906D03"/>
    <w:rsid w:val="0091061E"/>
    <w:rsid w:val="00910942"/>
    <w:rsid w:val="009124AF"/>
    <w:rsid w:val="009126FA"/>
    <w:rsid w:val="00912FB6"/>
    <w:rsid w:val="0091300F"/>
    <w:rsid w:val="00913115"/>
    <w:rsid w:val="00913C27"/>
    <w:rsid w:val="00914C73"/>
    <w:rsid w:val="009152BE"/>
    <w:rsid w:val="00915CBC"/>
    <w:rsid w:val="00915DFD"/>
    <w:rsid w:val="00917061"/>
    <w:rsid w:val="00917C5F"/>
    <w:rsid w:val="00917F92"/>
    <w:rsid w:val="0092122E"/>
    <w:rsid w:val="009212DD"/>
    <w:rsid w:val="00921981"/>
    <w:rsid w:val="009221D2"/>
    <w:rsid w:val="0092271C"/>
    <w:rsid w:val="00922C9A"/>
    <w:rsid w:val="0092313D"/>
    <w:rsid w:val="0092420E"/>
    <w:rsid w:val="00927A60"/>
    <w:rsid w:val="00927E10"/>
    <w:rsid w:val="009305AF"/>
    <w:rsid w:val="00931BD6"/>
    <w:rsid w:val="00932787"/>
    <w:rsid w:val="00933C35"/>
    <w:rsid w:val="00934990"/>
    <w:rsid w:val="00934CF3"/>
    <w:rsid w:val="00934E35"/>
    <w:rsid w:val="009350B5"/>
    <w:rsid w:val="00935493"/>
    <w:rsid w:val="00936261"/>
    <w:rsid w:val="00936BAA"/>
    <w:rsid w:val="009374BC"/>
    <w:rsid w:val="00937DB5"/>
    <w:rsid w:val="00940AE3"/>
    <w:rsid w:val="00941E1F"/>
    <w:rsid w:val="009422D9"/>
    <w:rsid w:val="00943746"/>
    <w:rsid w:val="00943890"/>
    <w:rsid w:val="00944119"/>
    <w:rsid w:val="009445C6"/>
    <w:rsid w:val="009446CB"/>
    <w:rsid w:val="0094550C"/>
    <w:rsid w:val="0094574D"/>
    <w:rsid w:val="00946964"/>
    <w:rsid w:val="00946C6D"/>
    <w:rsid w:val="00950D3C"/>
    <w:rsid w:val="0095145F"/>
    <w:rsid w:val="00953CA4"/>
    <w:rsid w:val="009549DE"/>
    <w:rsid w:val="00954B9E"/>
    <w:rsid w:val="009552EC"/>
    <w:rsid w:val="009559FB"/>
    <w:rsid w:val="00956BBE"/>
    <w:rsid w:val="00956CFB"/>
    <w:rsid w:val="00957EA8"/>
    <w:rsid w:val="009603AE"/>
    <w:rsid w:val="0096058B"/>
    <w:rsid w:val="0096067B"/>
    <w:rsid w:val="00961119"/>
    <w:rsid w:val="00961EED"/>
    <w:rsid w:val="00962358"/>
    <w:rsid w:val="009637C2"/>
    <w:rsid w:val="0096388C"/>
    <w:rsid w:val="0096600D"/>
    <w:rsid w:val="0096689D"/>
    <w:rsid w:val="00966B21"/>
    <w:rsid w:val="00967195"/>
    <w:rsid w:val="009671A4"/>
    <w:rsid w:val="00967815"/>
    <w:rsid w:val="00967E0F"/>
    <w:rsid w:val="00970524"/>
    <w:rsid w:val="009705CB"/>
    <w:rsid w:val="00970940"/>
    <w:rsid w:val="009710E6"/>
    <w:rsid w:val="00971177"/>
    <w:rsid w:val="0097123E"/>
    <w:rsid w:val="00971292"/>
    <w:rsid w:val="00971FB3"/>
    <w:rsid w:val="00973303"/>
    <w:rsid w:val="00973639"/>
    <w:rsid w:val="00975FA2"/>
    <w:rsid w:val="00980A1C"/>
    <w:rsid w:val="00980CAD"/>
    <w:rsid w:val="0098139C"/>
    <w:rsid w:val="00981DD3"/>
    <w:rsid w:val="009823C4"/>
    <w:rsid w:val="00982D92"/>
    <w:rsid w:val="00983349"/>
    <w:rsid w:val="009833D9"/>
    <w:rsid w:val="00983639"/>
    <w:rsid w:val="00983877"/>
    <w:rsid w:val="00984479"/>
    <w:rsid w:val="00984B45"/>
    <w:rsid w:val="00984FBF"/>
    <w:rsid w:val="00986055"/>
    <w:rsid w:val="00987E48"/>
    <w:rsid w:val="00991B3D"/>
    <w:rsid w:val="00992743"/>
    <w:rsid w:val="009928EB"/>
    <w:rsid w:val="00993319"/>
    <w:rsid w:val="00994EAA"/>
    <w:rsid w:val="009962EE"/>
    <w:rsid w:val="009A0B26"/>
    <w:rsid w:val="009A10A6"/>
    <w:rsid w:val="009A3D49"/>
    <w:rsid w:val="009A4E59"/>
    <w:rsid w:val="009A5639"/>
    <w:rsid w:val="009A5EC0"/>
    <w:rsid w:val="009A69BC"/>
    <w:rsid w:val="009A76AD"/>
    <w:rsid w:val="009B0A74"/>
    <w:rsid w:val="009B205F"/>
    <w:rsid w:val="009B25E8"/>
    <w:rsid w:val="009B4A97"/>
    <w:rsid w:val="009B5F0B"/>
    <w:rsid w:val="009B6580"/>
    <w:rsid w:val="009B6F11"/>
    <w:rsid w:val="009B78E7"/>
    <w:rsid w:val="009B7E92"/>
    <w:rsid w:val="009C09F1"/>
    <w:rsid w:val="009C1700"/>
    <w:rsid w:val="009C1E6C"/>
    <w:rsid w:val="009C27AD"/>
    <w:rsid w:val="009C298D"/>
    <w:rsid w:val="009C3A6F"/>
    <w:rsid w:val="009C4425"/>
    <w:rsid w:val="009C6610"/>
    <w:rsid w:val="009C6F22"/>
    <w:rsid w:val="009C7045"/>
    <w:rsid w:val="009D0011"/>
    <w:rsid w:val="009D093F"/>
    <w:rsid w:val="009D0FF0"/>
    <w:rsid w:val="009D163B"/>
    <w:rsid w:val="009D1F4C"/>
    <w:rsid w:val="009D26C0"/>
    <w:rsid w:val="009D2BC3"/>
    <w:rsid w:val="009D3C90"/>
    <w:rsid w:val="009D6547"/>
    <w:rsid w:val="009D657B"/>
    <w:rsid w:val="009E166A"/>
    <w:rsid w:val="009E2A20"/>
    <w:rsid w:val="009E2FBE"/>
    <w:rsid w:val="009E3A4C"/>
    <w:rsid w:val="009E4025"/>
    <w:rsid w:val="009E4FC1"/>
    <w:rsid w:val="009E5D92"/>
    <w:rsid w:val="009E62CE"/>
    <w:rsid w:val="009E79CD"/>
    <w:rsid w:val="009F031D"/>
    <w:rsid w:val="009F0BBD"/>
    <w:rsid w:val="009F0C28"/>
    <w:rsid w:val="009F0CE9"/>
    <w:rsid w:val="009F0EFE"/>
    <w:rsid w:val="009F200C"/>
    <w:rsid w:val="009F263A"/>
    <w:rsid w:val="009F2886"/>
    <w:rsid w:val="009F296D"/>
    <w:rsid w:val="009F38A1"/>
    <w:rsid w:val="009F4A65"/>
    <w:rsid w:val="009F5DCF"/>
    <w:rsid w:val="009F602B"/>
    <w:rsid w:val="009F64D9"/>
    <w:rsid w:val="00A003DE"/>
    <w:rsid w:val="00A0094D"/>
    <w:rsid w:val="00A02469"/>
    <w:rsid w:val="00A03AB1"/>
    <w:rsid w:val="00A03B1F"/>
    <w:rsid w:val="00A044BF"/>
    <w:rsid w:val="00A0760D"/>
    <w:rsid w:val="00A07911"/>
    <w:rsid w:val="00A07D6A"/>
    <w:rsid w:val="00A106BA"/>
    <w:rsid w:val="00A10DCC"/>
    <w:rsid w:val="00A12622"/>
    <w:rsid w:val="00A1538C"/>
    <w:rsid w:val="00A15793"/>
    <w:rsid w:val="00A160A2"/>
    <w:rsid w:val="00A1617D"/>
    <w:rsid w:val="00A16E54"/>
    <w:rsid w:val="00A17639"/>
    <w:rsid w:val="00A204AD"/>
    <w:rsid w:val="00A214C1"/>
    <w:rsid w:val="00A21F19"/>
    <w:rsid w:val="00A23303"/>
    <w:rsid w:val="00A23E07"/>
    <w:rsid w:val="00A24207"/>
    <w:rsid w:val="00A25386"/>
    <w:rsid w:val="00A25FDF"/>
    <w:rsid w:val="00A269E4"/>
    <w:rsid w:val="00A27DAA"/>
    <w:rsid w:val="00A27E2D"/>
    <w:rsid w:val="00A27FCD"/>
    <w:rsid w:val="00A31914"/>
    <w:rsid w:val="00A3281A"/>
    <w:rsid w:val="00A37256"/>
    <w:rsid w:val="00A37C4D"/>
    <w:rsid w:val="00A40063"/>
    <w:rsid w:val="00A40882"/>
    <w:rsid w:val="00A427A0"/>
    <w:rsid w:val="00A43DFC"/>
    <w:rsid w:val="00A44458"/>
    <w:rsid w:val="00A44FDB"/>
    <w:rsid w:val="00A454DA"/>
    <w:rsid w:val="00A460FB"/>
    <w:rsid w:val="00A46EA6"/>
    <w:rsid w:val="00A47770"/>
    <w:rsid w:val="00A47A0E"/>
    <w:rsid w:val="00A47A0F"/>
    <w:rsid w:val="00A47BBA"/>
    <w:rsid w:val="00A47E55"/>
    <w:rsid w:val="00A536ED"/>
    <w:rsid w:val="00A54362"/>
    <w:rsid w:val="00A558DF"/>
    <w:rsid w:val="00A56053"/>
    <w:rsid w:val="00A56D8E"/>
    <w:rsid w:val="00A579FB"/>
    <w:rsid w:val="00A604C5"/>
    <w:rsid w:val="00A60D7F"/>
    <w:rsid w:val="00A610D2"/>
    <w:rsid w:val="00A614DE"/>
    <w:rsid w:val="00A61A50"/>
    <w:rsid w:val="00A62883"/>
    <w:rsid w:val="00A628CB"/>
    <w:rsid w:val="00A64EA6"/>
    <w:rsid w:val="00A65C56"/>
    <w:rsid w:val="00A6602F"/>
    <w:rsid w:val="00A705EB"/>
    <w:rsid w:val="00A709FF"/>
    <w:rsid w:val="00A71A03"/>
    <w:rsid w:val="00A7338C"/>
    <w:rsid w:val="00A733D7"/>
    <w:rsid w:val="00A7366B"/>
    <w:rsid w:val="00A7439A"/>
    <w:rsid w:val="00A74CE1"/>
    <w:rsid w:val="00A74D29"/>
    <w:rsid w:val="00A75A54"/>
    <w:rsid w:val="00A75A98"/>
    <w:rsid w:val="00A76445"/>
    <w:rsid w:val="00A76D3E"/>
    <w:rsid w:val="00A77418"/>
    <w:rsid w:val="00A77550"/>
    <w:rsid w:val="00A810AB"/>
    <w:rsid w:val="00A81EAA"/>
    <w:rsid w:val="00A82EF4"/>
    <w:rsid w:val="00A8305E"/>
    <w:rsid w:val="00A83844"/>
    <w:rsid w:val="00A84308"/>
    <w:rsid w:val="00A84C19"/>
    <w:rsid w:val="00A86102"/>
    <w:rsid w:val="00A865A0"/>
    <w:rsid w:val="00A866EB"/>
    <w:rsid w:val="00A8690D"/>
    <w:rsid w:val="00A86A60"/>
    <w:rsid w:val="00A86D67"/>
    <w:rsid w:val="00A875D2"/>
    <w:rsid w:val="00A91DC5"/>
    <w:rsid w:val="00A92C99"/>
    <w:rsid w:val="00A93321"/>
    <w:rsid w:val="00A942E8"/>
    <w:rsid w:val="00A94FBE"/>
    <w:rsid w:val="00A96A1B"/>
    <w:rsid w:val="00A96FF4"/>
    <w:rsid w:val="00A97652"/>
    <w:rsid w:val="00AA0BC7"/>
    <w:rsid w:val="00AA139D"/>
    <w:rsid w:val="00AA1B70"/>
    <w:rsid w:val="00AA2EE5"/>
    <w:rsid w:val="00AA3424"/>
    <w:rsid w:val="00AA35FD"/>
    <w:rsid w:val="00AA44BB"/>
    <w:rsid w:val="00AA67EC"/>
    <w:rsid w:val="00AA6C25"/>
    <w:rsid w:val="00AA6D46"/>
    <w:rsid w:val="00AA785A"/>
    <w:rsid w:val="00AA7A3C"/>
    <w:rsid w:val="00AA7C46"/>
    <w:rsid w:val="00AB0D44"/>
    <w:rsid w:val="00AB1138"/>
    <w:rsid w:val="00AB21D4"/>
    <w:rsid w:val="00AB28C9"/>
    <w:rsid w:val="00AB4813"/>
    <w:rsid w:val="00AB5681"/>
    <w:rsid w:val="00AB5904"/>
    <w:rsid w:val="00AB5DEB"/>
    <w:rsid w:val="00AB7301"/>
    <w:rsid w:val="00AB7730"/>
    <w:rsid w:val="00AB78D6"/>
    <w:rsid w:val="00AB7ABE"/>
    <w:rsid w:val="00AB7D0B"/>
    <w:rsid w:val="00AC043C"/>
    <w:rsid w:val="00AC0E3A"/>
    <w:rsid w:val="00AC416B"/>
    <w:rsid w:val="00AC4937"/>
    <w:rsid w:val="00AC52BD"/>
    <w:rsid w:val="00AC56AF"/>
    <w:rsid w:val="00AC647C"/>
    <w:rsid w:val="00AD0803"/>
    <w:rsid w:val="00AD0A13"/>
    <w:rsid w:val="00AD2B5C"/>
    <w:rsid w:val="00AD2EC8"/>
    <w:rsid w:val="00AD306E"/>
    <w:rsid w:val="00AD3552"/>
    <w:rsid w:val="00AD361B"/>
    <w:rsid w:val="00AD493E"/>
    <w:rsid w:val="00AD4CDA"/>
    <w:rsid w:val="00AD60D5"/>
    <w:rsid w:val="00AD729A"/>
    <w:rsid w:val="00AE0391"/>
    <w:rsid w:val="00AE1C43"/>
    <w:rsid w:val="00AE40AF"/>
    <w:rsid w:val="00AE4611"/>
    <w:rsid w:val="00AE6CEF"/>
    <w:rsid w:val="00AE6CF6"/>
    <w:rsid w:val="00AF035A"/>
    <w:rsid w:val="00AF1206"/>
    <w:rsid w:val="00AF1701"/>
    <w:rsid w:val="00AF1CEA"/>
    <w:rsid w:val="00AF1CF2"/>
    <w:rsid w:val="00AF5CB5"/>
    <w:rsid w:val="00AF5FB3"/>
    <w:rsid w:val="00AF624D"/>
    <w:rsid w:val="00AF71FE"/>
    <w:rsid w:val="00AF7329"/>
    <w:rsid w:val="00B0036A"/>
    <w:rsid w:val="00B01A17"/>
    <w:rsid w:val="00B021D8"/>
    <w:rsid w:val="00B02E1E"/>
    <w:rsid w:val="00B03959"/>
    <w:rsid w:val="00B05664"/>
    <w:rsid w:val="00B0568D"/>
    <w:rsid w:val="00B05975"/>
    <w:rsid w:val="00B05CB6"/>
    <w:rsid w:val="00B06C61"/>
    <w:rsid w:val="00B07046"/>
    <w:rsid w:val="00B1063A"/>
    <w:rsid w:val="00B11726"/>
    <w:rsid w:val="00B1195D"/>
    <w:rsid w:val="00B11D9A"/>
    <w:rsid w:val="00B13035"/>
    <w:rsid w:val="00B14434"/>
    <w:rsid w:val="00B14FCB"/>
    <w:rsid w:val="00B15FE1"/>
    <w:rsid w:val="00B1772B"/>
    <w:rsid w:val="00B178A4"/>
    <w:rsid w:val="00B1795F"/>
    <w:rsid w:val="00B20617"/>
    <w:rsid w:val="00B21582"/>
    <w:rsid w:val="00B21B09"/>
    <w:rsid w:val="00B22A5D"/>
    <w:rsid w:val="00B22CF3"/>
    <w:rsid w:val="00B23424"/>
    <w:rsid w:val="00B2563C"/>
    <w:rsid w:val="00B2609A"/>
    <w:rsid w:val="00B260A1"/>
    <w:rsid w:val="00B26F20"/>
    <w:rsid w:val="00B2731A"/>
    <w:rsid w:val="00B30527"/>
    <w:rsid w:val="00B30675"/>
    <w:rsid w:val="00B30E67"/>
    <w:rsid w:val="00B31D00"/>
    <w:rsid w:val="00B32BE8"/>
    <w:rsid w:val="00B34227"/>
    <w:rsid w:val="00B344AE"/>
    <w:rsid w:val="00B346CF"/>
    <w:rsid w:val="00B349F5"/>
    <w:rsid w:val="00B35FD4"/>
    <w:rsid w:val="00B416C5"/>
    <w:rsid w:val="00B42038"/>
    <w:rsid w:val="00B43344"/>
    <w:rsid w:val="00B435F7"/>
    <w:rsid w:val="00B43D87"/>
    <w:rsid w:val="00B457FA"/>
    <w:rsid w:val="00B45BB9"/>
    <w:rsid w:val="00B45BC7"/>
    <w:rsid w:val="00B45D61"/>
    <w:rsid w:val="00B4683D"/>
    <w:rsid w:val="00B47D7D"/>
    <w:rsid w:val="00B50121"/>
    <w:rsid w:val="00B511A8"/>
    <w:rsid w:val="00B51803"/>
    <w:rsid w:val="00B52B66"/>
    <w:rsid w:val="00B5345B"/>
    <w:rsid w:val="00B55596"/>
    <w:rsid w:val="00B55B3B"/>
    <w:rsid w:val="00B55D1C"/>
    <w:rsid w:val="00B61F86"/>
    <w:rsid w:val="00B627FD"/>
    <w:rsid w:val="00B62BC7"/>
    <w:rsid w:val="00B65169"/>
    <w:rsid w:val="00B6613A"/>
    <w:rsid w:val="00B664EC"/>
    <w:rsid w:val="00B66992"/>
    <w:rsid w:val="00B701B0"/>
    <w:rsid w:val="00B71775"/>
    <w:rsid w:val="00B71E0B"/>
    <w:rsid w:val="00B721FB"/>
    <w:rsid w:val="00B72C39"/>
    <w:rsid w:val="00B730E1"/>
    <w:rsid w:val="00B74E9B"/>
    <w:rsid w:val="00B74FBF"/>
    <w:rsid w:val="00B7639A"/>
    <w:rsid w:val="00B76FEB"/>
    <w:rsid w:val="00B80462"/>
    <w:rsid w:val="00B80CA8"/>
    <w:rsid w:val="00B81F14"/>
    <w:rsid w:val="00B82E6A"/>
    <w:rsid w:val="00B86351"/>
    <w:rsid w:val="00B87A08"/>
    <w:rsid w:val="00B907F6"/>
    <w:rsid w:val="00B9173B"/>
    <w:rsid w:val="00B92350"/>
    <w:rsid w:val="00B92B7F"/>
    <w:rsid w:val="00B942D3"/>
    <w:rsid w:val="00B948F8"/>
    <w:rsid w:val="00B9529C"/>
    <w:rsid w:val="00B95540"/>
    <w:rsid w:val="00B96F0B"/>
    <w:rsid w:val="00B97266"/>
    <w:rsid w:val="00BA08C3"/>
    <w:rsid w:val="00BA0E87"/>
    <w:rsid w:val="00BA1342"/>
    <w:rsid w:val="00BA1574"/>
    <w:rsid w:val="00BA1AF1"/>
    <w:rsid w:val="00BA1BCC"/>
    <w:rsid w:val="00BA1BF9"/>
    <w:rsid w:val="00BA3418"/>
    <w:rsid w:val="00BA4306"/>
    <w:rsid w:val="00BA49C6"/>
    <w:rsid w:val="00BA49D5"/>
    <w:rsid w:val="00BA563B"/>
    <w:rsid w:val="00BA5815"/>
    <w:rsid w:val="00BA5A7A"/>
    <w:rsid w:val="00BA6330"/>
    <w:rsid w:val="00BA6695"/>
    <w:rsid w:val="00BA73EB"/>
    <w:rsid w:val="00BB02F3"/>
    <w:rsid w:val="00BB17CC"/>
    <w:rsid w:val="00BB1DDE"/>
    <w:rsid w:val="00BB26DF"/>
    <w:rsid w:val="00BB33DD"/>
    <w:rsid w:val="00BB363A"/>
    <w:rsid w:val="00BB4DA3"/>
    <w:rsid w:val="00BB5355"/>
    <w:rsid w:val="00BB56E5"/>
    <w:rsid w:val="00BB59D0"/>
    <w:rsid w:val="00BB5A67"/>
    <w:rsid w:val="00BB6C6F"/>
    <w:rsid w:val="00BC15FA"/>
    <w:rsid w:val="00BC2B24"/>
    <w:rsid w:val="00BC39F8"/>
    <w:rsid w:val="00BC4A84"/>
    <w:rsid w:val="00BC74E4"/>
    <w:rsid w:val="00BC7546"/>
    <w:rsid w:val="00BC7B1B"/>
    <w:rsid w:val="00BD347E"/>
    <w:rsid w:val="00BD4D47"/>
    <w:rsid w:val="00BD5288"/>
    <w:rsid w:val="00BD535D"/>
    <w:rsid w:val="00BD75DC"/>
    <w:rsid w:val="00BE090B"/>
    <w:rsid w:val="00BE0A4C"/>
    <w:rsid w:val="00BE6381"/>
    <w:rsid w:val="00BF0A97"/>
    <w:rsid w:val="00BF1D0A"/>
    <w:rsid w:val="00BF2E28"/>
    <w:rsid w:val="00BF32E7"/>
    <w:rsid w:val="00BF3C12"/>
    <w:rsid w:val="00BF3E63"/>
    <w:rsid w:val="00BF5279"/>
    <w:rsid w:val="00BF530E"/>
    <w:rsid w:val="00BF5FB2"/>
    <w:rsid w:val="00BF65A8"/>
    <w:rsid w:val="00BF6B9E"/>
    <w:rsid w:val="00C013A2"/>
    <w:rsid w:val="00C0187E"/>
    <w:rsid w:val="00C026A5"/>
    <w:rsid w:val="00C02B5A"/>
    <w:rsid w:val="00C03BD3"/>
    <w:rsid w:val="00C03C18"/>
    <w:rsid w:val="00C03F0E"/>
    <w:rsid w:val="00C06D16"/>
    <w:rsid w:val="00C070A7"/>
    <w:rsid w:val="00C105F7"/>
    <w:rsid w:val="00C1073D"/>
    <w:rsid w:val="00C10A8D"/>
    <w:rsid w:val="00C117E9"/>
    <w:rsid w:val="00C11BC7"/>
    <w:rsid w:val="00C12309"/>
    <w:rsid w:val="00C125AB"/>
    <w:rsid w:val="00C13534"/>
    <w:rsid w:val="00C13B5A"/>
    <w:rsid w:val="00C14D5F"/>
    <w:rsid w:val="00C17F15"/>
    <w:rsid w:val="00C21BC8"/>
    <w:rsid w:val="00C21EF4"/>
    <w:rsid w:val="00C22E73"/>
    <w:rsid w:val="00C23274"/>
    <w:rsid w:val="00C23485"/>
    <w:rsid w:val="00C24082"/>
    <w:rsid w:val="00C2418B"/>
    <w:rsid w:val="00C2662A"/>
    <w:rsid w:val="00C266B4"/>
    <w:rsid w:val="00C268B0"/>
    <w:rsid w:val="00C2707B"/>
    <w:rsid w:val="00C3000E"/>
    <w:rsid w:val="00C30D2D"/>
    <w:rsid w:val="00C31698"/>
    <w:rsid w:val="00C31844"/>
    <w:rsid w:val="00C32247"/>
    <w:rsid w:val="00C33E2B"/>
    <w:rsid w:val="00C35040"/>
    <w:rsid w:val="00C35C7E"/>
    <w:rsid w:val="00C35DE1"/>
    <w:rsid w:val="00C40192"/>
    <w:rsid w:val="00C40A9A"/>
    <w:rsid w:val="00C413F6"/>
    <w:rsid w:val="00C43AF6"/>
    <w:rsid w:val="00C450CC"/>
    <w:rsid w:val="00C455B2"/>
    <w:rsid w:val="00C455BF"/>
    <w:rsid w:val="00C46442"/>
    <w:rsid w:val="00C46A90"/>
    <w:rsid w:val="00C50042"/>
    <w:rsid w:val="00C518E2"/>
    <w:rsid w:val="00C52D79"/>
    <w:rsid w:val="00C5364B"/>
    <w:rsid w:val="00C536B4"/>
    <w:rsid w:val="00C53BC5"/>
    <w:rsid w:val="00C53FFC"/>
    <w:rsid w:val="00C54536"/>
    <w:rsid w:val="00C56F41"/>
    <w:rsid w:val="00C576D8"/>
    <w:rsid w:val="00C57EBE"/>
    <w:rsid w:val="00C6284A"/>
    <w:rsid w:val="00C62E81"/>
    <w:rsid w:val="00C63614"/>
    <w:rsid w:val="00C63918"/>
    <w:rsid w:val="00C63BCD"/>
    <w:rsid w:val="00C64555"/>
    <w:rsid w:val="00C673F6"/>
    <w:rsid w:val="00C7274B"/>
    <w:rsid w:val="00C73288"/>
    <w:rsid w:val="00C7490C"/>
    <w:rsid w:val="00C7632F"/>
    <w:rsid w:val="00C76CA8"/>
    <w:rsid w:val="00C802C9"/>
    <w:rsid w:val="00C80AB6"/>
    <w:rsid w:val="00C835B8"/>
    <w:rsid w:val="00C83BFC"/>
    <w:rsid w:val="00C83E61"/>
    <w:rsid w:val="00C84B49"/>
    <w:rsid w:val="00C85DBD"/>
    <w:rsid w:val="00C86F25"/>
    <w:rsid w:val="00C87687"/>
    <w:rsid w:val="00C90B40"/>
    <w:rsid w:val="00C915AA"/>
    <w:rsid w:val="00C91850"/>
    <w:rsid w:val="00C92267"/>
    <w:rsid w:val="00C92EAD"/>
    <w:rsid w:val="00C93143"/>
    <w:rsid w:val="00C938CA"/>
    <w:rsid w:val="00C93977"/>
    <w:rsid w:val="00C93CB6"/>
    <w:rsid w:val="00C949F7"/>
    <w:rsid w:val="00C95605"/>
    <w:rsid w:val="00C97A56"/>
    <w:rsid w:val="00CA0C28"/>
    <w:rsid w:val="00CA1B59"/>
    <w:rsid w:val="00CA589D"/>
    <w:rsid w:val="00CA6892"/>
    <w:rsid w:val="00CA69C6"/>
    <w:rsid w:val="00CA7D26"/>
    <w:rsid w:val="00CA7DB9"/>
    <w:rsid w:val="00CB03E4"/>
    <w:rsid w:val="00CB0EFB"/>
    <w:rsid w:val="00CB1F66"/>
    <w:rsid w:val="00CB2273"/>
    <w:rsid w:val="00CB234D"/>
    <w:rsid w:val="00CB4CC5"/>
    <w:rsid w:val="00CB5FFA"/>
    <w:rsid w:val="00CB65D0"/>
    <w:rsid w:val="00CB6DAD"/>
    <w:rsid w:val="00CC09E9"/>
    <w:rsid w:val="00CC0C25"/>
    <w:rsid w:val="00CC1E04"/>
    <w:rsid w:val="00CC393B"/>
    <w:rsid w:val="00CC41DA"/>
    <w:rsid w:val="00CC45A7"/>
    <w:rsid w:val="00CC500C"/>
    <w:rsid w:val="00CC5F85"/>
    <w:rsid w:val="00CC67F2"/>
    <w:rsid w:val="00CC7105"/>
    <w:rsid w:val="00CD0A20"/>
    <w:rsid w:val="00CD0E96"/>
    <w:rsid w:val="00CD15D6"/>
    <w:rsid w:val="00CD1F78"/>
    <w:rsid w:val="00CD3985"/>
    <w:rsid w:val="00CD3C4B"/>
    <w:rsid w:val="00CD43E3"/>
    <w:rsid w:val="00CD4A26"/>
    <w:rsid w:val="00CD5451"/>
    <w:rsid w:val="00CD63C4"/>
    <w:rsid w:val="00CD74EA"/>
    <w:rsid w:val="00CD78E9"/>
    <w:rsid w:val="00CE03FA"/>
    <w:rsid w:val="00CE1233"/>
    <w:rsid w:val="00CE1B78"/>
    <w:rsid w:val="00CE3B22"/>
    <w:rsid w:val="00CE4A22"/>
    <w:rsid w:val="00CE56C3"/>
    <w:rsid w:val="00CE62CC"/>
    <w:rsid w:val="00CE666B"/>
    <w:rsid w:val="00CF2080"/>
    <w:rsid w:val="00CF23F9"/>
    <w:rsid w:val="00CF48A2"/>
    <w:rsid w:val="00CF4F1B"/>
    <w:rsid w:val="00CF504C"/>
    <w:rsid w:val="00CF62AE"/>
    <w:rsid w:val="00CF63F7"/>
    <w:rsid w:val="00CF6E1E"/>
    <w:rsid w:val="00CF7292"/>
    <w:rsid w:val="00CF7721"/>
    <w:rsid w:val="00D00B26"/>
    <w:rsid w:val="00D01224"/>
    <w:rsid w:val="00D01709"/>
    <w:rsid w:val="00D01DE3"/>
    <w:rsid w:val="00D0219F"/>
    <w:rsid w:val="00D02E4B"/>
    <w:rsid w:val="00D03304"/>
    <w:rsid w:val="00D04930"/>
    <w:rsid w:val="00D05A87"/>
    <w:rsid w:val="00D10E4F"/>
    <w:rsid w:val="00D11998"/>
    <w:rsid w:val="00D11D8A"/>
    <w:rsid w:val="00D120F4"/>
    <w:rsid w:val="00D132C2"/>
    <w:rsid w:val="00D13F58"/>
    <w:rsid w:val="00D14A10"/>
    <w:rsid w:val="00D14AE5"/>
    <w:rsid w:val="00D14B21"/>
    <w:rsid w:val="00D1598C"/>
    <w:rsid w:val="00D15AC8"/>
    <w:rsid w:val="00D15B9A"/>
    <w:rsid w:val="00D15FFD"/>
    <w:rsid w:val="00D166DD"/>
    <w:rsid w:val="00D17BC0"/>
    <w:rsid w:val="00D17EC9"/>
    <w:rsid w:val="00D20BDA"/>
    <w:rsid w:val="00D21160"/>
    <w:rsid w:val="00D214CA"/>
    <w:rsid w:val="00D22EA4"/>
    <w:rsid w:val="00D2392B"/>
    <w:rsid w:val="00D23951"/>
    <w:rsid w:val="00D23A36"/>
    <w:rsid w:val="00D23E5D"/>
    <w:rsid w:val="00D248DA"/>
    <w:rsid w:val="00D27274"/>
    <w:rsid w:val="00D2729B"/>
    <w:rsid w:val="00D301DC"/>
    <w:rsid w:val="00D30F5A"/>
    <w:rsid w:val="00D310AD"/>
    <w:rsid w:val="00D31DB3"/>
    <w:rsid w:val="00D35B76"/>
    <w:rsid w:val="00D36B42"/>
    <w:rsid w:val="00D41A38"/>
    <w:rsid w:val="00D41B82"/>
    <w:rsid w:val="00D42518"/>
    <w:rsid w:val="00D43973"/>
    <w:rsid w:val="00D43BE5"/>
    <w:rsid w:val="00D45052"/>
    <w:rsid w:val="00D4517C"/>
    <w:rsid w:val="00D45BA5"/>
    <w:rsid w:val="00D45BD6"/>
    <w:rsid w:val="00D4724D"/>
    <w:rsid w:val="00D5081D"/>
    <w:rsid w:val="00D52911"/>
    <w:rsid w:val="00D52C39"/>
    <w:rsid w:val="00D543C9"/>
    <w:rsid w:val="00D55A75"/>
    <w:rsid w:val="00D55B57"/>
    <w:rsid w:val="00D60DB5"/>
    <w:rsid w:val="00D62185"/>
    <w:rsid w:val="00D637F9"/>
    <w:rsid w:val="00D63ADA"/>
    <w:rsid w:val="00D646A0"/>
    <w:rsid w:val="00D66861"/>
    <w:rsid w:val="00D6728D"/>
    <w:rsid w:val="00D676D9"/>
    <w:rsid w:val="00D70AD8"/>
    <w:rsid w:val="00D71DA2"/>
    <w:rsid w:val="00D72097"/>
    <w:rsid w:val="00D7222F"/>
    <w:rsid w:val="00D723F0"/>
    <w:rsid w:val="00D7264D"/>
    <w:rsid w:val="00D74BA3"/>
    <w:rsid w:val="00D77146"/>
    <w:rsid w:val="00D80B2A"/>
    <w:rsid w:val="00D83EE6"/>
    <w:rsid w:val="00D8432A"/>
    <w:rsid w:val="00D8434D"/>
    <w:rsid w:val="00D85409"/>
    <w:rsid w:val="00D85783"/>
    <w:rsid w:val="00D85C6A"/>
    <w:rsid w:val="00D91ACD"/>
    <w:rsid w:val="00D933D7"/>
    <w:rsid w:val="00D93471"/>
    <w:rsid w:val="00D95132"/>
    <w:rsid w:val="00D951FD"/>
    <w:rsid w:val="00D953AD"/>
    <w:rsid w:val="00D959ED"/>
    <w:rsid w:val="00D95D3A"/>
    <w:rsid w:val="00D96019"/>
    <w:rsid w:val="00DA095B"/>
    <w:rsid w:val="00DA0EAF"/>
    <w:rsid w:val="00DA344A"/>
    <w:rsid w:val="00DA3656"/>
    <w:rsid w:val="00DA3E7D"/>
    <w:rsid w:val="00DA44EE"/>
    <w:rsid w:val="00DA588A"/>
    <w:rsid w:val="00DA6B58"/>
    <w:rsid w:val="00DA6F3D"/>
    <w:rsid w:val="00DA7D7A"/>
    <w:rsid w:val="00DB2781"/>
    <w:rsid w:val="00DB27B0"/>
    <w:rsid w:val="00DB34F1"/>
    <w:rsid w:val="00DB3F08"/>
    <w:rsid w:val="00DB409C"/>
    <w:rsid w:val="00DB40D3"/>
    <w:rsid w:val="00DB417D"/>
    <w:rsid w:val="00DB4B5D"/>
    <w:rsid w:val="00DB4F53"/>
    <w:rsid w:val="00DB5DB6"/>
    <w:rsid w:val="00DB6B49"/>
    <w:rsid w:val="00DC0606"/>
    <w:rsid w:val="00DC154F"/>
    <w:rsid w:val="00DC179D"/>
    <w:rsid w:val="00DC1B5D"/>
    <w:rsid w:val="00DC1C04"/>
    <w:rsid w:val="00DC1F45"/>
    <w:rsid w:val="00DC4E60"/>
    <w:rsid w:val="00DC5FDF"/>
    <w:rsid w:val="00DC7624"/>
    <w:rsid w:val="00DD07AD"/>
    <w:rsid w:val="00DD0A31"/>
    <w:rsid w:val="00DD102A"/>
    <w:rsid w:val="00DD22FA"/>
    <w:rsid w:val="00DD2D32"/>
    <w:rsid w:val="00DD3159"/>
    <w:rsid w:val="00DD408D"/>
    <w:rsid w:val="00DD41EF"/>
    <w:rsid w:val="00DD43F0"/>
    <w:rsid w:val="00DD4C5E"/>
    <w:rsid w:val="00DD51C4"/>
    <w:rsid w:val="00DD5232"/>
    <w:rsid w:val="00DD591E"/>
    <w:rsid w:val="00DD646D"/>
    <w:rsid w:val="00DD6DEA"/>
    <w:rsid w:val="00DD7F0B"/>
    <w:rsid w:val="00DE0754"/>
    <w:rsid w:val="00DE0FC6"/>
    <w:rsid w:val="00DE127C"/>
    <w:rsid w:val="00DE2435"/>
    <w:rsid w:val="00DE258F"/>
    <w:rsid w:val="00DE2FF3"/>
    <w:rsid w:val="00DE3198"/>
    <w:rsid w:val="00DE365D"/>
    <w:rsid w:val="00DE43DA"/>
    <w:rsid w:val="00DE46A6"/>
    <w:rsid w:val="00DE48D5"/>
    <w:rsid w:val="00DE62B6"/>
    <w:rsid w:val="00DE70CD"/>
    <w:rsid w:val="00DE7685"/>
    <w:rsid w:val="00DF0190"/>
    <w:rsid w:val="00DF05CC"/>
    <w:rsid w:val="00DF05E0"/>
    <w:rsid w:val="00DF2512"/>
    <w:rsid w:val="00DF2F71"/>
    <w:rsid w:val="00DF31FC"/>
    <w:rsid w:val="00DF3BA0"/>
    <w:rsid w:val="00DF426A"/>
    <w:rsid w:val="00DF4BAE"/>
    <w:rsid w:val="00DF514D"/>
    <w:rsid w:val="00DF7428"/>
    <w:rsid w:val="00DF7AD6"/>
    <w:rsid w:val="00DF7CC1"/>
    <w:rsid w:val="00E0436A"/>
    <w:rsid w:val="00E05AFA"/>
    <w:rsid w:val="00E05B96"/>
    <w:rsid w:val="00E06655"/>
    <w:rsid w:val="00E069DC"/>
    <w:rsid w:val="00E1090F"/>
    <w:rsid w:val="00E125F0"/>
    <w:rsid w:val="00E12A75"/>
    <w:rsid w:val="00E145CF"/>
    <w:rsid w:val="00E14FBD"/>
    <w:rsid w:val="00E16784"/>
    <w:rsid w:val="00E17D60"/>
    <w:rsid w:val="00E206AE"/>
    <w:rsid w:val="00E20DCF"/>
    <w:rsid w:val="00E2240F"/>
    <w:rsid w:val="00E225D2"/>
    <w:rsid w:val="00E2284F"/>
    <w:rsid w:val="00E22A9B"/>
    <w:rsid w:val="00E22D5A"/>
    <w:rsid w:val="00E22F73"/>
    <w:rsid w:val="00E24B1A"/>
    <w:rsid w:val="00E260A2"/>
    <w:rsid w:val="00E26D35"/>
    <w:rsid w:val="00E26EC5"/>
    <w:rsid w:val="00E273A1"/>
    <w:rsid w:val="00E27A65"/>
    <w:rsid w:val="00E3003A"/>
    <w:rsid w:val="00E305B2"/>
    <w:rsid w:val="00E30E29"/>
    <w:rsid w:val="00E312B3"/>
    <w:rsid w:val="00E33240"/>
    <w:rsid w:val="00E35BB7"/>
    <w:rsid w:val="00E36861"/>
    <w:rsid w:val="00E3720E"/>
    <w:rsid w:val="00E37F8B"/>
    <w:rsid w:val="00E4034A"/>
    <w:rsid w:val="00E405BA"/>
    <w:rsid w:val="00E40809"/>
    <w:rsid w:val="00E40A20"/>
    <w:rsid w:val="00E40ACE"/>
    <w:rsid w:val="00E40F36"/>
    <w:rsid w:val="00E4155F"/>
    <w:rsid w:val="00E44953"/>
    <w:rsid w:val="00E4589F"/>
    <w:rsid w:val="00E47964"/>
    <w:rsid w:val="00E47E34"/>
    <w:rsid w:val="00E52330"/>
    <w:rsid w:val="00E5281B"/>
    <w:rsid w:val="00E52973"/>
    <w:rsid w:val="00E52C95"/>
    <w:rsid w:val="00E545CF"/>
    <w:rsid w:val="00E55124"/>
    <w:rsid w:val="00E56064"/>
    <w:rsid w:val="00E5739B"/>
    <w:rsid w:val="00E611FE"/>
    <w:rsid w:val="00E61C11"/>
    <w:rsid w:val="00E648DF"/>
    <w:rsid w:val="00E65B62"/>
    <w:rsid w:val="00E66349"/>
    <w:rsid w:val="00E66D54"/>
    <w:rsid w:val="00E674EA"/>
    <w:rsid w:val="00E70408"/>
    <w:rsid w:val="00E71DB6"/>
    <w:rsid w:val="00E725AD"/>
    <w:rsid w:val="00E72D5E"/>
    <w:rsid w:val="00E74B85"/>
    <w:rsid w:val="00E75DF7"/>
    <w:rsid w:val="00E7674F"/>
    <w:rsid w:val="00E8091A"/>
    <w:rsid w:val="00E80C55"/>
    <w:rsid w:val="00E82F7F"/>
    <w:rsid w:val="00E83731"/>
    <w:rsid w:val="00E8455F"/>
    <w:rsid w:val="00E84DC5"/>
    <w:rsid w:val="00E8631C"/>
    <w:rsid w:val="00E86A4E"/>
    <w:rsid w:val="00E87EEA"/>
    <w:rsid w:val="00E90427"/>
    <w:rsid w:val="00E90A35"/>
    <w:rsid w:val="00E9187F"/>
    <w:rsid w:val="00E919F6"/>
    <w:rsid w:val="00E934C3"/>
    <w:rsid w:val="00E935F7"/>
    <w:rsid w:val="00E96803"/>
    <w:rsid w:val="00E97610"/>
    <w:rsid w:val="00E97B2D"/>
    <w:rsid w:val="00EA0AB4"/>
    <w:rsid w:val="00EA1237"/>
    <w:rsid w:val="00EA12F6"/>
    <w:rsid w:val="00EA1BAC"/>
    <w:rsid w:val="00EA290B"/>
    <w:rsid w:val="00EA3377"/>
    <w:rsid w:val="00EA363F"/>
    <w:rsid w:val="00EA3DD0"/>
    <w:rsid w:val="00EA5B52"/>
    <w:rsid w:val="00EA6225"/>
    <w:rsid w:val="00EA6F2D"/>
    <w:rsid w:val="00EA7C97"/>
    <w:rsid w:val="00EB15B3"/>
    <w:rsid w:val="00EB387A"/>
    <w:rsid w:val="00EB4BFD"/>
    <w:rsid w:val="00EB6AE3"/>
    <w:rsid w:val="00EB7774"/>
    <w:rsid w:val="00EC0928"/>
    <w:rsid w:val="00EC24C9"/>
    <w:rsid w:val="00EC26CA"/>
    <w:rsid w:val="00EC2BBB"/>
    <w:rsid w:val="00EC2F8E"/>
    <w:rsid w:val="00EC42B3"/>
    <w:rsid w:val="00EC7A68"/>
    <w:rsid w:val="00ED11DA"/>
    <w:rsid w:val="00ED3B3D"/>
    <w:rsid w:val="00ED454C"/>
    <w:rsid w:val="00ED4ADC"/>
    <w:rsid w:val="00ED5275"/>
    <w:rsid w:val="00ED536E"/>
    <w:rsid w:val="00ED5DBE"/>
    <w:rsid w:val="00ED6B29"/>
    <w:rsid w:val="00ED79AF"/>
    <w:rsid w:val="00ED7D5C"/>
    <w:rsid w:val="00EE0573"/>
    <w:rsid w:val="00EE0853"/>
    <w:rsid w:val="00EE1203"/>
    <w:rsid w:val="00EE1881"/>
    <w:rsid w:val="00EE1C68"/>
    <w:rsid w:val="00EE2D23"/>
    <w:rsid w:val="00EE3860"/>
    <w:rsid w:val="00EE38E0"/>
    <w:rsid w:val="00EE471B"/>
    <w:rsid w:val="00EE4BB5"/>
    <w:rsid w:val="00EE598C"/>
    <w:rsid w:val="00EE6823"/>
    <w:rsid w:val="00EE6AB1"/>
    <w:rsid w:val="00EE7A56"/>
    <w:rsid w:val="00EF0123"/>
    <w:rsid w:val="00EF18BE"/>
    <w:rsid w:val="00EF2977"/>
    <w:rsid w:val="00EF3DEB"/>
    <w:rsid w:val="00EF4AAA"/>
    <w:rsid w:val="00EF4F8E"/>
    <w:rsid w:val="00EF5EF3"/>
    <w:rsid w:val="00EF7520"/>
    <w:rsid w:val="00F00642"/>
    <w:rsid w:val="00F01882"/>
    <w:rsid w:val="00F02172"/>
    <w:rsid w:val="00F02B50"/>
    <w:rsid w:val="00F02FDB"/>
    <w:rsid w:val="00F03EF1"/>
    <w:rsid w:val="00F048BF"/>
    <w:rsid w:val="00F0522A"/>
    <w:rsid w:val="00F0610A"/>
    <w:rsid w:val="00F07498"/>
    <w:rsid w:val="00F10CD2"/>
    <w:rsid w:val="00F11261"/>
    <w:rsid w:val="00F13818"/>
    <w:rsid w:val="00F13BDF"/>
    <w:rsid w:val="00F1435A"/>
    <w:rsid w:val="00F14A13"/>
    <w:rsid w:val="00F14C28"/>
    <w:rsid w:val="00F15493"/>
    <w:rsid w:val="00F15930"/>
    <w:rsid w:val="00F16564"/>
    <w:rsid w:val="00F16940"/>
    <w:rsid w:val="00F17164"/>
    <w:rsid w:val="00F1729A"/>
    <w:rsid w:val="00F24088"/>
    <w:rsid w:val="00F2479D"/>
    <w:rsid w:val="00F25856"/>
    <w:rsid w:val="00F2688E"/>
    <w:rsid w:val="00F269E4"/>
    <w:rsid w:val="00F26E1D"/>
    <w:rsid w:val="00F27020"/>
    <w:rsid w:val="00F27ED1"/>
    <w:rsid w:val="00F307CB"/>
    <w:rsid w:val="00F323A5"/>
    <w:rsid w:val="00F32DB1"/>
    <w:rsid w:val="00F330B8"/>
    <w:rsid w:val="00F33AA5"/>
    <w:rsid w:val="00F36499"/>
    <w:rsid w:val="00F364A4"/>
    <w:rsid w:val="00F3705B"/>
    <w:rsid w:val="00F37C29"/>
    <w:rsid w:val="00F40595"/>
    <w:rsid w:val="00F40CF0"/>
    <w:rsid w:val="00F411FF"/>
    <w:rsid w:val="00F41267"/>
    <w:rsid w:val="00F41782"/>
    <w:rsid w:val="00F41973"/>
    <w:rsid w:val="00F419C6"/>
    <w:rsid w:val="00F41C02"/>
    <w:rsid w:val="00F41F83"/>
    <w:rsid w:val="00F429DC"/>
    <w:rsid w:val="00F42A80"/>
    <w:rsid w:val="00F42FCF"/>
    <w:rsid w:val="00F43133"/>
    <w:rsid w:val="00F442B7"/>
    <w:rsid w:val="00F4584B"/>
    <w:rsid w:val="00F45B9F"/>
    <w:rsid w:val="00F46251"/>
    <w:rsid w:val="00F46DEA"/>
    <w:rsid w:val="00F53F13"/>
    <w:rsid w:val="00F546FD"/>
    <w:rsid w:val="00F54E39"/>
    <w:rsid w:val="00F55DBB"/>
    <w:rsid w:val="00F56471"/>
    <w:rsid w:val="00F573DD"/>
    <w:rsid w:val="00F576B6"/>
    <w:rsid w:val="00F57F47"/>
    <w:rsid w:val="00F6036C"/>
    <w:rsid w:val="00F60C62"/>
    <w:rsid w:val="00F632AA"/>
    <w:rsid w:val="00F646D0"/>
    <w:rsid w:val="00F64F29"/>
    <w:rsid w:val="00F65207"/>
    <w:rsid w:val="00F652F4"/>
    <w:rsid w:val="00F65D26"/>
    <w:rsid w:val="00F67075"/>
    <w:rsid w:val="00F70E91"/>
    <w:rsid w:val="00F7260B"/>
    <w:rsid w:val="00F7373A"/>
    <w:rsid w:val="00F75593"/>
    <w:rsid w:val="00F76BB1"/>
    <w:rsid w:val="00F76C3E"/>
    <w:rsid w:val="00F77552"/>
    <w:rsid w:val="00F77AB1"/>
    <w:rsid w:val="00F82309"/>
    <w:rsid w:val="00F826B3"/>
    <w:rsid w:val="00F82926"/>
    <w:rsid w:val="00F83FD7"/>
    <w:rsid w:val="00F84FEA"/>
    <w:rsid w:val="00F85797"/>
    <w:rsid w:val="00F85E2E"/>
    <w:rsid w:val="00F87FCE"/>
    <w:rsid w:val="00F90DC6"/>
    <w:rsid w:val="00F912BD"/>
    <w:rsid w:val="00F91745"/>
    <w:rsid w:val="00F92BEF"/>
    <w:rsid w:val="00F92C53"/>
    <w:rsid w:val="00F9386F"/>
    <w:rsid w:val="00F9409E"/>
    <w:rsid w:val="00F94E44"/>
    <w:rsid w:val="00F9531C"/>
    <w:rsid w:val="00F959E3"/>
    <w:rsid w:val="00F97082"/>
    <w:rsid w:val="00F979A3"/>
    <w:rsid w:val="00F97C22"/>
    <w:rsid w:val="00FA15E4"/>
    <w:rsid w:val="00FA1789"/>
    <w:rsid w:val="00FA37AB"/>
    <w:rsid w:val="00FA48F4"/>
    <w:rsid w:val="00FA4EBA"/>
    <w:rsid w:val="00FA504D"/>
    <w:rsid w:val="00FA5121"/>
    <w:rsid w:val="00FA6149"/>
    <w:rsid w:val="00FA7BB3"/>
    <w:rsid w:val="00FB1509"/>
    <w:rsid w:val="00FB150F"/>
    <w:rsid w:val="00FB61E6"/>
    <w:rsid w:val="00FB6362"/>
    <w:rsid w:val="00FB7FF3"/>
    <w:rsid w:val="00FC0F01"/>
    <w:rsid w:val="00FC3D39"/>
    <w:rsid w:val="00FC4179"/>
    <w:rsid w:val="00FC4842"/>
    <w:rsid w:val="00FC59A6"/>
    <w:rsid w:val="00FC6F1D"/>
    <w:rsid w:val="00FC7634"/>
    <w:rsid w:val="00FD0789"/>
    <w:rsid w:val="00FD1412"/>
    <w:rsid w:val="00FD144D"/>
    <w:rsid w:val="00FD200E"/>
    <w:rsid w:val="00FD277A"/>
    <w:rsid w:val="00FD32EF"/>
    <w:rsid w:val="00FD4519"/>
    <w:rsid w:val="00FD46B7"/>
    <w:rsid w:val="00FD4C21"/>
    <w:rsid w:val="00FD54C0"/>
    <w:rsid w:val="00FD6253"/>
    <w:rsid w:val="00FD659E"/>
    <w:rsid w:val="00FD66E0"/>
    <w:rsid w:val="00FD66FB"/>
    <w:rsid w:val="00FD7926"/>
    <w:rsid w:val="00FD7BF9"/>
    <w:rsid w:val="00FE2640"/>
    <w:rsid w:val="00FE2696"/>
    <w:rsid w:val="00FE4260"/>
    <w:rsid w:val="00FE5C9E"/>
    <w:rsid w:val="00FE66D0"/>
    <w:rsid w:val="00FE71F2"/>
    <w:rsid w:val="00FF0422"/>
    <w:rsid w:val="00FF1A2A"/>
    <w:rsid w:val="00FF1CA5"/>
    <w:rsid w:val="00FF2E3E"/>
    <w:rsid w:val="00FF3267"/>
    <w:rsid w:val="00FF3A5E"/>
    <w:rsid w:val="00FF4454"/>
    <w:rsid w:val="00FF474E"/>
    <w:rsid w:val="00FF5AF6"/>
    <w:rsid w:val="00FF5B6C"/>
    <w:rsid w:val="00FF725E"/>
    <w:rsid w:val="00FF7D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A67ED72-6264-460C-93EB-1CECF605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Cs w:val="22"/>
      <w:lang w:val="en-US" w:eastAsia="en-US"/>
    </w:rPr>
  </w:style>
  <w:style w:type="paragraph" w:styleId="Heading1">
    <w:name w:val="heading 1"/>
    <w:basedOn w:val="Normal"/>
    <w:link w:val="Heading1Char"/>
    <w:qFormat/>
    <w:rsid w:val="005A06B9"/>
    <w:pPr>
      <w:keepNext/>
      <w:widowControl/>
      <w:autoSpaceDE/>
      <w:autoSpaceDN/>
      <w:adjustRightInd/>
      <w:jc w:val="right"/>
      <w:outlineLvl w:val="0"/>
    </w:pPr>
    <w:rPr>
      <w:rFonts w:ascii="Century Gothic" w:hAnsi="Century Gothic"/>
      <w:kern w:val="36"/>
      <w:sz w:val="24"/>
      <w:szCs w:val="24"/>
      <w:u w:val="single"/>
      <w:lang w:val="el-GR" w:eastAsia="el-GR"/>
    </w:rPr>
  </w:style>
  <w:style w:type="paragraph" w:styleId="Heading2">
    <w:name w:val="heading 2"/>
    <w:basedOn w:val="Normal"/>
    <w:next w:val="Normal"/>
    <w:link w:val="Heading2Char"/>
    <w:unhideWhenUsed/>
    <w:qFormat/>
    <w:rsid w:val="005A06B9"/>
    <w:pPr>
      <w:keepNext/>
      <w:keepLines/>
      <w:widowControl/>
      <w:autoSpaceDE/>
      <w:autoSpaceDN/>
      <w:adjustRightInd/>
      <w:spacing w:before="200"/>
      <w:outlineLvl w:val="1"/>
    </w:pPr>
    <w:rPr>
      <w:rFonts w:ascii="Cambria" w:hAnsi="Cambria"/>
      <w:b/>
      <w:bCs/>
      <w:color w:val="4F81BD"/>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rPr>
      <w:sz w:val="24"/>
      <w:szCs w:val="24"/>
    </w:rPr>
  </w:style>
  <w:style w:type="character" w:styleId="EndnoteReference">
    <w:name w:val="endnote reference"/>
    <w:rPr>
      <w:vertAlign w:val="superscript"/>
    </w:rPr>
  </w:style>
  <w:style w:type="paragraph" w:styleId="FootnoteText">
    <w:name w:val="footnote text"/>
    <w:basedOn w:val="Normal"/>
    <w:link w:val="FootnoteTextChar"/>
    <w:rPr>
      <w:sz w:val="24"/>
      <w:szCs w:val="24"/>
    </w:rPr>
  </w:style>
  <w:style w:type="character" w:styleId="FootnoteReference">
    <w:name w:val="footnote reference"/>
    <w:rPr>
      <w:vertAlign w:val="superscript"/>
    </w:rPr>
  </w:style>
  <w:style w:type="paragraph" w:styleId="TOC1">
    <w:name w:val="toc 1"/>
    <w:basedOn w:val="Normal"/>
    <w:next w:val="Normal"/>
    <w:pPr>
      <w:tabs>
        <w:tab w:val="right" w:leader="dot" w:pos="9360"/>
      </w:tabs>
      <w:suppressAutoHyphens/>
      <w:spacing w:before="480" w:line="240" w:lineRule="atLeast"/>
      <w:ind w:left="720" w:right="720" w:hanging="720"/>
    </w:pPr>
  </w:style>
  <w:style w:type="paragraph" w:styleId="TOC2">
    <w:name w:val="toc 2"/>
    <w:basedOn w:val="Normal"/>
    <w:next w:val="Normal"/>
    <w:pPr>
      <w:tabs>
        <w:tab w:val="right" w:leader="dot" w:pos="9360"/>
      </w:tabs>
      <w:suppressAutoHyphens/>
      <w:spacing w:line="240" w:lineRule="atLeast"/>
      <w:ind w:left="720" w:right="720"/>
    </w:pPr>
  </w:style>
  <w:style w:type="paragraph" w:styleId="TOC3">
    <w:name w:val="toc 3"/>
    <w:basedOn w:val="Normal"/>
    <w:next w:val="Normal"/>
    <w:pPr>
      <w:tabs>
        <w:tab w:val="right" w:leader="dot" w:pos="9360"/>
      </w:tabs>
      <w:suppressAutoHyphens/>
      <w:spacing w:line="240" w:lineRule="atLeast"/>
      <w:ind w:left="720" w:right="720"/>
    </w:pPr>
  </w:style>
  <w:style w:type="paragraph" w:styleId="TOC4">
    <w:name w:val="toc 4"/>
    <w:basedOn w:val="Normal"/>
    <w:next w:val="Normal"/>
    <w:pPr>
      <w:tabs>
        <w:tab w:val="right" w:leader="dot" w:pos="9360"/>
      </w:tabs>
      <w:suppressAutoHyphens/>
      <w:spacing w:line="240" w:lineRule="atLeast"/>
      <w:ind w:left="720" w:right="720"/>
    </w:pPr>
  </w:style>
  <w:style w:type="paragraph" w:styleId="TOC5">
    <w:name w:val="toc 5"/>
    <w:basedOn w:val="Normal"/>
    <w:next w:val="Normal"/>
    <w:pPr>
      <w:tabs>
        <w:tab w:val="right" w:leader="dot" w:pos="9360"/>
      </w:tabs>
      <w:suppressAutoHyphens/>
      <w:spacing w:line="240" w:lineRule="atLeast"/>
      <w:ind w:left="720" w:right="720"/>
    </w:pPr>
  </w:style>
  <w:style w:type="paragraph" w:styleId="TOC6">
    <w:name w:val="toc 6"/>
    <w:basedOn w:val="Normal"/>
    <w:next w:val="Normal"/>
    <w:pPr>
      <w:tabs>
        <w:tab w:val="right" w:pos="9360"/>
      </w:tabs>
      <w:suppressAutoHyphens/>
      <w:spacing w:line="240" w:lineRule="atLeast"/>
      <w:ind w:left="720" w:hanging="720"/>
    </w:pPr>
  </w:style>
  <w:style w:type="paragraph" w:styleId="TOC7">
    <w:name w:val="toc 7"/>
    <w:basedOn w:val="Normal"/>
    <w:next w:val="Normal"/>
    <w:pPr>
      <w:suppressAutoHyphens/>
      <w:spacing w:line="240" w:lineRule="atLeast"/>
      <w:ind w:left="720" w:hanging="720"/>
    </w:pPr>
  </w:style>
  <w:style w:type="paragraph" w:styleId="TOC8">
    <w:name w:val="toc 8"/>
    <w:basedOn w:val="Normal"/>
    <w:next w:val="Normal"/>
    <w:pPr>
      <w:tabs>
        <w:tab w:val="right" w:pos="9360"/>
      </w:tabs>
      <w:suppressAutoHyphens/>
      <w:spacing w:line="240" w:lineRule="atLeast"/>
      <w:ind w:left="720" w:hanging="720"/>
    </w:pPr>
  </w:style>
  <w:style w:type="paragraph" w:styleId="TOC9">
    <w:name w:val="toc 9"/>
    <w:basedOn w:val="Normal"/>
    <w:next w:val="Normal"/>
    <w:pPr>
      <w:tabs>
        <w:tab w:val="right" w:leader="dot" w:pos="9360"/>
      </w:tabs>
      <w:suppressAutoHyphens/>
      <w:spacing w:line="240" w:lineRule="atLeast"/>
      <w:ind w:left="720" w:hanging="720"/>
    </w:pPr>
  </w:style>
  <w:style w:type="paragraph" w:styleId="Index1">
    <w:name w:val="index 1"/>
    <w:basedOn w:val="Normal"/>
    <w:next w:val="Normal"/>
    <w:pPr>
      <w:tabs>
        <w:tab w:val="right" w:leader="dot" w:pos="9360"/>
      </w:tabs>
      <w:suppressAutoHyphens/>
      <w:spacing w:line="240" w:lineRule="atLeast"/>
      <w:ind w:left="720" w:hanging="720"/>
    </w:pPr>
  </w:style>
  <w:style w:type="paragraph" w:styleId="Index2">
    <w:name w:val="index 2"/>
    <w:basedOn w:val="Normal"/>
    <w:next w:val="Normal"/>
    <w:pPr>
      <w:tabs>
        <w:tab w:val="right" w:leader="dot" w:pos="9360"/>
      </w:tabs>
      <w:suppressAutoHyphens/>
      <w:spacing w:line="240" w:lineRule="atLeast"/>
      <w:ind w:left="720"/>
    </w:pPr>
  </w:style>
  <w:style w:type="paragraph" w:styleId="TOAHeading">
    <w:name w:val="toa heading"/>
    <w:basedOn w:val="Normal"/>
    <w:next w:val="Normal"/>
    <w:pPr>
      <w:tabs>
        <w:tab w:val="right" w:pos="9360"/>
      </w:tabs>
      <w:suppressAutoHyphens/>
      <w:spacing w:line="240" w:lineRule="atLeast"/>
    </w:pPr>
  </w:style>
  <w:style w:type="paragraph" w:styleId="Caption">
    <w:name w:val="caption"/>
    <w:basedOn w:val="Normal"/>
    <w:next w:val="Normal"/>
    <w:qFormat/>
    <w:rPr>
      <w:sz w:val="24"/>
      <w:szCs w:val="24"/>
    </w:rPr>
  </w:style>
  <w:style w:type="character" w:customStyle="1" w:styleId="EquationCaption">
    <w:name w:val="_Equation Caption"/>
  </w:style>
  <w:style w:type="paragraph" w:styleId="Header">
    <w:name w:val="header"/>
    <w:basedOn w:val="Normal"/>
    <w:link w:val="HeaderChar"/>
    <w:uiPriority w:val="99"/>
    <w:rsid w:val="00EE598C"/>
    <w:pPr>
      <w:tabs>
        <w:tab w:val="center" w:pos="4513"/>
        <w:tab w:val="right" w:pos="9026"/>
      </w:tabs>
    </w:pPr>
  </w:style>
  <w:style w:type="character" w:customStyle="1" w:styleId="HeaderChar">
    <w:name w:val="Header Char"/>
    <w:link w:val="Header"/>
    <w:uiPriority w:val="99"/>
    <w:rsid w:val="00EE598C"/>
    <w:rPr>
      <w:szCs w:val="22"/>
      <w:lang w:val="en-US" w:eastAsia="en-US"/>
    </w:rPr>
  </w:style>
  <w:style w:type="paragraph" w:styleId="Footer">
    <w:name w:val="footer"/>
    <w:basedOn w:val="Normal"/>
    <w:link w:val="FooterChar"/>
    <w:uiPriority w:val="99"/>
    <w:rsid w:val="00EE598C"/>
    <w:pPr>
      <w:tabs>
        <w:tab w:val="center" w:pos="4513"/>
        <w:tab w:val="right" w:pos="9026"/>
      </w:tabs>
    </w:pPr>
  </w:style>
  <w:style w:type="character" w:customStyle="1" w:styleId="FooterChar">
    <w:name w:val="Footer Char"/>
    <w:link w:val="Footer"/>
    <w:uiPriority w:val="99"/>
    <w:rsid w:val="00EE598C"/>
    <w:rPr>
      <w:szCs w:val="22"/>
      <w:lang w:val="en-US" w:eastAsia="en-US"/>
    </w:rPr>
  </w:style>
  <w:style w:type="paragraph" w:styleId="BalloonText">
    <w:name w:val="Balloon Text"/>
    <w:basedOn w:val="Normal"/>
    <w:link w:val="BalloonTextChar"/>
    <w:rsid w:val="00336295"/>
    <w:rPr>
      <w:rFonts w:ascii="Tahoma" w:hAnsi="Tahoma"/>
      <w:sz w:val="16"/>
      <w:szCs w:val="16"/>
    </w:rPr>
  </w:style>
  <w:style w:type="character" w:customStyle="1" w:styleId="BalloonTextChar">
    <w:name w:val="Balloon Text Char"/>
    <w:link w:val="BalloonText"/>
    <w:rsid w:val="00336295"/>
    <w:rPr>
      <w:rFonts w:ascii="Tahoma" w:hAnsi="Tahoma" w:cs="Tahoma"/>
      <w:sz w:val="16"/>
      <w:szCs w:val="16"/>
      <w:lang w:val="en-US" w:eastAsia="en-US"/>
    </w:rPr>
  </w:style>
  <w:style w:type="character" w:customStyle="1" w:styleId="Heading1Char">
    <w:name w:val="Heading 1 Char"/>
    <w:basedOn w:val="DefaultParagraphFont"/>
    <w:link w:val="Heading1"/>
    <w:rsid w:val="005A06B9"/>
    <w:rPr>
      <w:rFonts w:ascii="Century Gothic" w:hAnsi="Century Gothic"/>
      <w:kern w:val="36"/>
      <w:sz w:val="24"/>
      <w:szCs w:val="24"/>
      <w:u w:val="single"/>
    </w:rPr>
  </w:style>
  <w:style w:type="character" w:customStyle="1" w:styleId="Heading2Char">
    <w:name w:val="Heading 2 Char"/>
    <w:basedOn w:val="DefaultParagraphFont"/>
    <w:link w:val="Heading2"/>
    <w:rsid w:val="005A06B9"/>
    <w:rPr>
      <w:rFonts w:ascii="Cambria" w:hAnsi="Cambria"/>
      <w:b/>
      <w:bCs/>
      <w:color w:val="4F81BD"/>
      <w:sz w:val="26"/>
      <w:szCs w:val="26"/>
      <w:lang w:val="en-GB" w:eastAsia="en-US"/>
    </w:rPr>
  </w:style>
  <w:style w:type="paragraph" w:styleId="BodyText2">
    <w:name w:val="Body Text 2"/>
    <w:basedOn w:val="Normal"/>
    <w:link w:val="BodyText2Char"/>
    <w:rsid w:val="005A06B9"/>
    <w:pPr>
      <w:widowControl/>
      <w:autoSpaceDE/>
      <w:autoSpaceDN/>
      <w:adjustRightInd/>
      <w:jc w:val="both"/>
    </w:pPr>
    <w:rPr>
      <w:rFonts w:ascii="Tahoma" w:hAnsi="Tahoma" w:cs="Tahoma"/>
      <w:bCs/>
      <w:sz w:val="22"/>
      <w:szCs w:val="24"/>
      <w:lang w:val="el-GR" w:eastAsia="el-GR"/>
    </w:rPr>
  </w:style>
  <w:style w:type="character" w:customStyle="1" w:styleId="BodyText2Char">
    <w:name w:val="Body Text 2 Char"/>
    <w:basedOn w:val="DefaultParagraphFont"/>
    <w:link w:val="BodyText2"/>
    <w:rsid w:val="005A06B9"/>
    <w:rPr>
      <w:rFonts w:ascii="Tahoma" w:hAnsi="Tahoma" w:cs="Tahoma"/>
      <w:bCs/>
      <w:sz w:val="22"/>
      <w:szCs w:val="24"/>
    </w:rPr>
  </w:style>
  <w:style w:type="character" w:styleId="CommentReference">
    <w:name w:val="annotation reference"/>
    <w:rsid w:val="005A06B9"/>
    <w:rPr>
      <w:sz w:val="16"/>
      <w:szCs w:val="16"/>
    </w:rPr>
  </w:style>
  <w:style w:type="paragraph" w:styleId="CommentText">
    <w:name w:val="annotation text"/>
    <w:basedOn w:val="Normal"/>
    <w:link w:val="CommentTextChar"/>
    <w:rsid w:val="005A06B9"/>
    <w:pPr>
      <w:widowControl/>
      <w:autoSpaceDE/>
      <w:autoSpaceDN/>
      <w:adjustRightInd/>
    </w:pPr>
    <w:rPr>
      <w:szCs w:val="20"/>
      <w:lang w:val="en-GB"/>
    </w:rPr>
  </w:style>
  <w:style w:type="character" w:customStyle="1" w:styleId="CommentTextChar">
    <w:name w:val="Comment Text Char"/>
    <w:basedOn w:val="DefaultParagraphFont"/>
    <w:link w:val="CommentText"/>
    <w:rsid w:val="005A06B9"/>
    <w:rPr>
      <w:lang w:val="en-GB" w:eastAsia="en-US"/>
    </w:rPr>
  </w:style>
  <w:style w:type="paragraph" w:styleId="CommentSubject">
    <w:name w:val="annotation subject"/>
    <w:basedOn w:val="CommentText"/>
    <w:next w:val="CommentText"/>
    <w:link w:val="CommentSubjectChar"/>
    <w:rsid w:val="005A06B9"/>
    <w:rPr>
      <w:b/>
      <w:bCs/>
    </w:rPr>
  </w:style>
  <w:style w:type="character" w:customStyle="1" w:styleId="CommentSubjectChar">
    <w:name w:val="Comment Subject Char"/>
    <w:basedOn w:val="CommentTextChar"/>
    <w:link w:val="CommentSubject"/>
    <w:rsid w:val="005A06B9"/>
    <w:rPr>
      <w:b/>
      <w:bCs/>
      <w:lang w:val="en-GB" w:eastAsia="en-US"/>
    </w:rPr>
  </w:style>
  <w:style w:type="paragraph" w:styleId="NormalWeb">
    <w:name w:val="Normal (Web)"/>
    <w:basedOn w:val="Normal"/>
    <w:uiPriority w:val="99"/>
    <w:rsid w:val="005A06B9"/>
    <w:pPr>
      <w:widowControl/>
      <w:autoSpaceDE/>
      <w:autoSpaceDN/>
      <w:adjustRightInd/>
      <w:spacing w:before="100" w:beforeAutospacing="1" w:after="100" w:afterAutospacing="1"/>
    </w:pPr>
    <w:rPr>
      <w:sz w:val="24"/>
      <w:szCs w:val="24"/>
      <w:lang w:val="el-GR" w:eastAsia="el-GR"/>
    </w:rPr>
  </w:style>
  <w:style w:type="character" w:styleId="Strong">
    <w:name w:val="Strong"/>
    <w:uiPriority w:val="22"/>
    <w:qFormat/>
    <w:rsid w:val="005A06B9"/>
    <w:rPr>
      <w:b/>
      <w:bCs/>
    </w:rPr>
  </w:style>
  <w:style w:type="character" w:styleId="Emphasis">
    <w:name w:val="Emphasis"/>
    <w:uiPriority w:val="20"/>
    <w:qFormat/>
    <w:rsid w:val="005A06B9"/>
    <w:rPr>
      <w:i/>
      <w:iCs/>
    </w:rPr>
  </w:style>
  <w:style w:type="paragraph" w:customStyle="1" w:styleId="CharChar">
    <w:name w:val="Char Char"/>
    <w:basedOn w:val="Normal"/>
    <w:rsid w:val="005A06B9"/>
    <w:pPr>
      <w:widowControl/>
      <w:tabs>
        <w:tab w:val="num" w:pos="432"/>
      </w:tabs>
      <w:autoSpaceDE/>
      <w:autoSpaceDN/>
      <w:adjustRightInd/>
      <w:spacing w:after="160" w:line="240" w:lineRule="exact"/>
      <w:ind w:left="432" w:hanging="432"/>
    </w:pPr>
    <w:rPr>
      <w:rFonts w:ascii="Arial" w:hAnsi="Arial"/>
      <w:sz w:val="24"/>
      <w:szCs w:val="24"/>
    </w:rPr>
  </w:style>
  <w:style w:type="paragraph" w:styleId="BlockText">
    <w:name w:val="Block Text"/>
    <w:basedOn w:val="Normal"/>
    <w:rsid w:val="005A06B9"/>
    <w:pPr>
      <w:widowControl/>
      <w:autoSpaceDE/>
      <w:autoSpaceDN/>
      <w:adjustRightInd/>
      <w:ind w:left="-120" w:right="-133"/>
      <w:jc w:val="both"/>
    </w:pPr>
    <w:rPr>
      <w:rFonts w:ascii="Book Antiqua" w:hAnsi="Book Antiqua"/>
      <w:sz w:val="26"/>
      <w:szCs w:val="26"/>
      <w:lang w:val="el-GR" w:eastAsia="el-GR"/>
    </w:rPr>
  </w:style>
  <w:style w:type="paragraph" w:styleId="DocumentMap">
    <w:name w:val="Document Map"/>
    <w:basedOn w:val="Normal"/>
    <w:link w:val="DocumentMapChar"/>
    <w:rsid w:val="005A06B9"/>
    <w:pPr>
      <w:widowControl/>
      <w:shd w:val="clear" w:color="auto" w:fill="000080"/>
      <w:autoSpaceDE/>
      <w:autoSpaceDN/>
      <w:adjustRightInd/>
    </w:pPr>
    <w:rPr>
      <w:rFonts w:ascii="Tahoma" w:hAnsi="Tahoma" w:cs="Tahoma"/>
      <w:szCs w:val="20"/>
      <w:lang w:val="en-GB"/>
    </w:rPr>
  </w:style>
  <w:style w:type="character" w:customStyle="1" w:styleId="DocumentMapChar">
    <w:name w:val="Document Map Char"/>
    <w:basedOn w:val="DefaultParagraphFont"/>
    <w:link w:val="DocumentMap"/>
    <w:rsid w:val="005A06B9"/>
    <w:rPr>
      <w:rFonts w:ascii="Tahoma" w:hAnsi="Tahoma" w:cs="Tahoma"/>
      <w:shd w:val="clear" w:color="auto" w:fill="000080"/>
      <w:lang w:val="en-GB" w:eastAsia="en-US"/>
    </w:rPr>
  </w:style>
  <w:style w:type="character" w:styleId="Hyperlink">
    <w:name w:val="Hyperlink"/>
    <w:uiPriority w:val="99"/>
    <w:rsid w:val="005A06B9"/>
    <w:rPr>
      <w:rFonts w:cs="Times New Roman"/>
      <w:color w:val="0000FF"/>
      <w:u w:val="single"/>
    </w:rPr>
  </w:style>
  <w:style w:type="paragraph" w:styleId="PlainText">
    <w:name w:val="Plain Text"/>
    <w:basedOn w:val="Normal"/>
    <w:link w:val="PlainTextChar"/>
    <w:uiPriority w:val="99"/>
    <w:unhideWhenUsed/>
    <w:rsid w:val="005A06B9"/>
    <w:pPr>
      <w:widowControl/>
      <w:autoSpaceDE/>
      <w:autoSpaceDN/>
      <w:adjustRightInd/>
    </w:pPr>
    <w:rPr>
      <w:rFonts w:ascii="Calibri" w:eastAsia="Calibri" w:hAnsi="Calibri"/>
      <w:color w:val="000000"/>
      <w:sz w:val="24"/>
      <w:szCs w:val="21"/>
    </w:rPr>
  </w:style>
  <w:style w:type="character" w:customStyle="1" w:styleId="PlainTextChar">
    <w:name w:val="Plain Text Char"/>
    <w:basedOn w:val="DefaultParagraphFont"/>
    <w:link w:val="PlainText"/>
    <w:uiPriority w:val="99"/>
    <w:rsid w:val="005A06B9"/>
    <w:rPr>
      <w:rFonts w:ascii="Calibri" w:eastAsia="Calibri" w:hAnsi="Calibri"/>
      <w:color w:val="000000"/>
      <w:sz w:val="24"/>
      <w:szCs w:val="21"/>
      <w:lang w:val="en-US" w:eastAsia="en-US"/>
    </w:rPr>
  </w:style>
  <w:style w:type="paragraph" w:styleId="ListParagraph">
    <w:name w:val="List Paragraph"/>
    <w:basedOn w:val="Normal"/>
    <w:uiPriority w:val="34"/>
    <w:qFormat/>
    <w:rsid w:val="005A06B9"/>
    <w:pPr>
      <w:widowControl/>
      <w:autoSpaceDE/>
      <w:autoSpaceDN/>
      <w:adjustRightInd/>
      <w:ind w:left="720"/>
      <w:contextualSpacing/>
    </w:pPr>
    <w:rPr>
      <w:sz w:val="24"/>
      <w:szCs w:val="24"/>
      <w:lang w:val="el-GR" w:eastAsia="el-GR"/>
    </w:rPr>
  </w:style>
  <w:style w:type="character" w:customStyle="1" w:styleId="field-content">
    <w:name w:val="field-content"/>
    <w:basedOn w:val="DefaultParagraphFont"/>
    <w:rsid w:val="005A06B9"/>
  </w:style>
  <w:style w:type="paragraph" w:styleId="Title">
    <w:name w:val="Title"/>
    <w:basedOn w:val="Normal"/>
    <w:link w:val="TitleChar"/>
    <w:qFormat/>
    <w:rsid w:val="005A06B9"/>
    <w:pPr>
      <w:widowControl/>
      <w:autoSpaceDE/>
      <w:autoSpaceDN/>
      <w:adjustRightInd/>
      <w:jc w:val="center"/>
    </w:pPr>
    <w:rPr>
      <w:b/>
      <w:sz w:val="24"/>
      <w:szCs w:val="20"/>
    </w:rPr>
  </w:style>
  <w:style w:type="character" w:customStyle="1" w:styleId="TitleChar">
    <w:name w:val="Title Char"/>
    <w:basedOn w:val="DefaultParagraphFont"/>
    <w:link w:val="Title"/>
    <w:rsid w:val="005A06B9"/>
    <w:rPr>
      <w:b/>
      <w:sz w:val="24"/>
      <w:lang w:val="en-US" w:eastAsia="en-US"/>
    </w:rPr>
  </w:style>
  <w:style w:type="character" w:customStyle="1" w:styleId="apple-style-span">
    <w:name w:val="apple-style-span"/>
    <w:basedOn w:val="DefaultParagraphFont"/>
    <w:rsid w:val="005A06B9"/>
  </w:style>
  <w:style w:type="paragraph" w:styleId="BodyText">
    <w:name w:val="Body Text"/>
    <w:basedOn w:val="Normal"/>
    <w:link w:val="BodyTextChar"/>
    <w:rsid w:val="005A06B9"/>
    <w:pPr>
      <w:widowControl/>
      <w:autoSpaceDE/>
      <w:autoSpaceDN/>
      <w:adjustRightInd/>
      <w:spacing w:after="120"/>
    </w:pPr>
    <w:rPr>
      <w:sz w:val="24"/>
      <w:szCs w:val="24"/>
      <w:lang w:val="en-GB"/>
    </w:rPr>
  </w:style>
  <w:style w:type="character" w:customStyle="1" w:styleId="BodyTextChar">
    <w:name w:val="Body Text Char"/>
    <w:basedOn w:val="DefaultParagraphFont"/>
    <w:link w:val="BodyText"/>
    <w:rsid w:val="005A06B9"/>
    <w:rPr>
      <w:sz w:val="24"/>
      <w:szCs w:val="24"/>
      <w:lang w:val="en-GB" w:eastAsia="en-US"/>
    </w:rPr>
  </w:style>
  <w:style w:type="paragraph" w:customStyle="1" w:styleId="Default">
    <w:name w:val="Default"/>
    <w:rsid w:val="005A06B9"/>
    <w:pPr>
      <w:autoSpaceDE w:val="0"/>
      <w:autoSpaceDN w:val="0"/>
      <w:adjustRightInd w:val="0"/>
    </w:pPr>
    <w:rPr>
      <w:rFonts w:ascii="Tahoma" w:hAnsi="Tahoma" w:cs="Tahoma"/>
      <w:color w:val="000000"/>
      <w:sz w:val="24"/>
      <w:szCs w:val="24"/>
    </w:rPr>
  </w:style>
  <w:style w:type="table" w:styleId="TableGrid">
    <w:name w:val="Table Grid"/>
    <w:basedOn w:val="TableNormal"/>
    <w:rsid w:val="005A06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5A06B9"/>
    <w:rPr>
      <w:sz w:val="24"/>
      <w:szCs w:val="24"/>
      <w:lang w:val="en-US" w:eastAsia="en-US"/>
    </w:rPr>
  </w:style>
  <w:style w:type="character" w:styleId="FollowedHyperlink">
    <w:name w:val="FollowedHyperlink"/>
    <w:basedOn w:val="DefaultParagraphFont"/>
    <w:unhideWhenUsed/>
    <w:rsid w:val="005A06B9"/>
    <w:rPr>
      <w:color w:val="954F72" w:themeColor="followedHyperlink"/>
      <w:u w:val="single"/>
    </w:rPr>
  </w:style>
  <w:style w:type="character" w:customStyle="1" w:styleId="EndnoteTextChar">
    <w:name w:val="Endnote Text Char"/>
    <w:basedOn w:val="DefaultParagraphFont"/>
    <w:link w:val="EndnoteText"/>
    <w:rsid w:val="005A06B9"/>
    <w:rPr>
      <w:sz w:val="24"/>
      <w:szCs w:val="24"/>
      <w:lang w:val="en-US" w:eastAsia="en-US"/>
    </w:rPr>
  </w:style>
  <w:style w:type="paragraph" w:styleId="Revision">
    <w:name w:val="Revision"/>
    <w:hidden/>
    <w:uiPriority w:val="99"/>
    <w:semiHidden/>
    <w:rsid w:val="005A06B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49530">
      <w:bodyDiv w:val="1"/>
      <w:marLeft w:val="0"/>
      <w:marRight w:val="0"/>
      <w:marTop w:val="0"/>
      <w:marBottom w:val="0"/>
      <w:divBdr>
        <w:top w:val="none" w:sz="0" w:space="0" w:color="auto"/>
        <w:left w:val="none" w:sz="0" w:space="0" w:color="auto"/>
        <w:bottom w:val="none" w:sz="0" w:space="0" w:color="auto"/>
        <w:right w:val="none" w:sz="0" w:space="0" w:color="auto"/>
      </w:divBdr>
    </w:div>
    <w:div w:id="240604709">
      <w:bodyDiv w:val="1"/>
      <w:marLeft w:val="0"/>
      <w:marRight w:val="0"/>
      <w:marTop w:val="0"/>
      <w:marBottom w:val="0"/>
      <w:divBdr>
        <w:top w:val="none" w:sz="0" w:space="0" w:color="auto"/>
        <w:left w:val="none" w:sz="0" w:space="0" w:color="auto"/>
        <w:bottom w:val="none" w:sz="0" w:space="0" w:color="auto"/>
        <w:right w:val="none" w:sz="0" w:space="0" w:color="auto"/>
      </w:divBdr>
    </w:div>
    <w:div w:id="251401924">
      <w:bodyDiv w:val="1"/>
      <w:marLeft w:val="0"/>
      <w:marRight w:val="0"/>
      <w:marTop w:val="0"/>
      <w:marBottom w:val="0"/>
      <w:divBdr>
        <w:top w:val="none" w:sz="0" w:space="0" w:color="auto"/>
        <w:left w:val="none" w:sz="0" w:space="0" w:color="auto"/>
        <w:bottom w:val="none" w:sz="0" w:space="0" w:color="auto"/>
        <w:right w:val="none" w:sz="0" w:space="0" w:color="auto"/>
      </w:divBdr>
    </w:div>
    <w:div w:id="349533543">
      <w:bodyDiv w:val="1"/>
      <w:marLeft w:val="0"/>
      <w:marRight w:val="0"/>
      <w:marTop w:val="0"/>
      <w:marBottom w:val="0"/>
      <w:divBdr>
        <w:top w:val="none" w:sz="0" w:space="0" w:color="auto"/>
        <w:left w:val="none" w:sz="0" w:space="0" w:color="auto"/>
        <w:bottom w:val="none" w:sz="0" w:space="0" w:color="auto"/>
        <w:right w:val="none" w:sz="0" w:space="0" w:color="auto"/>
      </w:divBdr>
    </w:div>
    <w:div w:id="440993195">
      <w:bodyDiv w:val="1"/>
      <w:marLeft w:val="0"/>
      <w:marRight w:val="0"/>
      <w:marTop w:val="0"/>
      <w:marBottom w:val="0"/>
      <w:divBdr>
        <w:top w:val="none" w:sz="0" w:space="0" w:color="auto"/>
        <w:left w:val="none" w:sz="0" w:space="0" w:color="auto"/>
        <w:bottom w:val="none" w:sz="0" w:space="0" w:color="auto"/>
        <w:right w:val="none" w:sz="0" w:space="0" w:color="auto"/>
      </w:divBdr>
    </w:div>
    <w:div w:id="470558323">
      <w:bodyDiv w:val="1"/>
      <w:marLeft w:val="0"/>
      <w:marRight w:val="0"/>
      <w:marTop w:val="0"/>
      <w:marBottom w:val="0"/>
      <w:divBdr>
        <w:top w:val="none" w:sz="0" w:space="0" w:color="auto"/>
        <w:left w:val="none" w:sz="0" w:space="0" w:color="auto"/>
        <w:bottom w:val="none" w:sz="0" w:space="0" w:color="auto"/>
        <w:right w:val="none" w:sz="0" w:space="0" w:color="auto"/>
      </w:divBdr>
    </w:div>
    <w:div w:id="743450491">
      <w:bodyDiv w:val="1"/>
      <w:marLeft w:val="0"/>
      <w:marRight w:val="0"/>
      <w:marTop w:val="0"/>
      <w:marBottom w:val="0"/>
      <w:divBdr>
        <w:top w:val="none" w:sz="0" w:space="0" w:color="auto"/>
        <w:left w:val="none" w:sz="0" w:space="0" w:color="auto"/>
        <w:bottom w:val="none" w:sz="0" w:space="0" w:color="auto"/>
        <w:right w:val="none" w:sz="0" w:space="0" w:color="auto"/>
      </w:divBdr>
    </w:div>
    <w:div w:id="814562687">
      <w:bodyDiv w:val="1"/>
      <w:marLeft w:val="0"/>
      <w:marRight w:val="0"/>
      <w:marTop w:val="0"/>
      <w:marBottom w:val="0"/>
      <w:divBdr>
        <w:top w:val="none" w:sz="0" w:space="0" w:color="auto"/>
        <w:left w:val="none" w:sz="0" w:space="0" w:color="auto"/>
        <w:bottom w:val="none" w:sz="0" w:space="0" w:color="auto"/>
        <w:right w:val="none" w:sz="0" w:space="0" w:color="auto"/>
      </w:divBdr>
    </w:div>
    <w:div w:id="827787458">
      <w:bodyDiv w:val="1"/>
      <w:marLeft w:val="0"/>
      <w:marRight w:val="0"/>
      <w:marTop w:val="0"/>
      <w:marBottom w:val="0"/>
      <w:divBdr>
        <w:top w:val="none" w:sz="0" w:space="0" w:color="auto"/>
        <w:left w:val="none" w:sz="0" w:space="0" w:color="auto"/>
        <w:bottom w:val="none" w:sz="0" w:space="0" w:color="auto"/>
        <w:right w:val="none" w:sz="0" w:space="0" w:color="auto"/>
      </w:divBdr>
    </w:div>
    <w:div w:id="876241671">
      <w:bodyDiv w:val="1"/>
      <w:marLeft w:val="0"/>
      <w:marRight w:val="0"/>
      <w:marTop w:val="0"/>
      <w:marBottom w:val="0"/>
      <w:divBdr>
        <w:top w:val="none" w:sz="0" w:space="0" w:color="auto"/>
        <w:left w:val="none" w:sz="0" w:space="0" w:color="auto"/>
        <w:bottom w:val="none" w:sz="0" w:space="0" w:color="auto"/>
        <w:right w:val="none" w:sz="0" w:space="0" w:color="auto"/>
      </w:divBdr>
    </w:div>
    <w:div w:id="963344193">
      <w:bodyDiv w:val="1"/>
      <w:marLeft w:val="0"/>
      <w:marRight w:val="0"/>
      <w:marTop w:val="0"/>
      <w:marBottom w:val="0"/>
      <w:divBdr>
        <w:top w:val="none" w:sz="0" w:space="0" w:color="auto"/>
        <w:left w:val="none" w:sz="0" w:space="0" w:color="auto"/>
        <w:bottom w:val="none" w:sz="0" w:space="0" w:color="auto"/>
        <w:right w:val="none" w:sz="0" w:space="0" w:color="auto"/>
      </w:divBdr>
    </w:div>
    <w:div w:id="993022301">
      <w:bodyDiv w:val="1"/>
      <w:marLeft w:val="0"/>
      <w:marRight w:val="0"/>
      <w:marTop w:val="0"/>
      <w:marBottom w:val="0"/>
      <w:divBdr>
        <w:top w:val="none" w:sz="0" w:space="0" w:color="auto"/>
        <w:left w:val="none" w:sz="0" w:space="0" w:color="auto"/>
        <w:bottom w:val="none" w:sz="0" w:space="0" w:color="auto"/>
        <w:right w:val="none" w:sz="0" w:space="0" w:color="auto"/>
      </w:divBdr>
    </w:div>
    <w:div w:id="1061709297">
      <w:bodyDiv w:val="1"/>
      <w:marLeft w:val="0"/>
      <w:marRight w:val="0"/>
      <w:marTop w:val="0"/>
      <w:marBottom w:val="0"/>
      <w:divBdr>
        <w:top w:val="none" w:sz="0" w:space="0" w:color="auto"/>
        <w:left w:val="none" w:sz="0" w:space="0" w:color="auto"/>
        <w:bottom w:val="none" w:sz="0" w:space="0" w:color="auto"/>
        <w:right w:val="none" w:sz="0" w:space="0" w:color="auto"/>
      </w:divBdr>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068571691">
      <w:bodyDiv w:val="1"/>
      <w:marLeft w:val="0"/>
      <w:marRight w:val="0"/>
      <w:marTop w:val="0"/>
      <w:marBottom w:val="0"/>
      <w:divBdr>
        <w:top w:val="none" w:sz="0" w:space="0" w:color="auto"/>
        <w:left w:val="none" w:sz="0" w:space="0" w:color="auto"/>
        <w:bottom w:val="none" w:sz="0" w:space="0" w:color="auto"/>
        <w:right w:val="none" w:sz="0" w:space="0" w:color="auto"/>
      </w:divBdr>
    </w:div>
    <w:div w:id="1207915674">
      <w:bodyDiv w:val="1"/>
      <w:marLeft w:val="0"/>
      <w:marRight w:val="0"/>
      <w:marTop w:val="0"/>
      <w:marBottom w:val="0"/>
      <w:divBdr>
        <w:top w:val="none" w:sz="0" w:space="0" w:color="auto"/>
        <w:left w:val="none" w:sz="0" w:space="0" w:color="auto"/>
        <w:bottom w:val="none" w:sz="0" w:space="0" w:color="auto"/>
        <w:right w:val="none" w:sz="0" w:space="0" w:color="auto"/>
      </w:divBdr>
    </w:div>
    <w:div w:id="1257589978">
      <w:bodyDiv w:val="1"/>
      <w:marLeft w:val="0"/>
      <w:marRight w:val="0"/>
      <w:marTop w:val="0"/>
      <w:marBottom w:val="0"/>
      <w:divBdr>
        <w:top w:val="none" w:sz="0" w:space="0" w:color="auto"/>
        <w:left w:val="none" w:sz="0" w:space="0" w:color="auto"/>
        <w:bottom w:val="none" w:sz="0" w:space="0" w:color="auto"/>
        <w:right w:val="none" w:sz="0" w:space="0" w:color="auto"/>
      </w:divBdr>
    </w:div>
    <w:div w:id="1275283998">
      <w:bodyDiv w:val="1"/>
      <w:marLeft w:val="0"/>
      <w:marRight w:val="0"/>
      <w:marTop w:val="0"/>
      <w:marBottom w:val="0"/>
      <w:divBdr>
        <w:top w:val="none" w:sz="0" w:space="0" w:color="auto"/>
        <w:left w:val="none" w:sz="0" w:space="0" w:color="auto"/>
        <w:bottom w:val="none" w:sz="0" w:space="0" w:color="auto"/>
        <w:right w:val="none" w:sz="0" w:space="0" w:color="auto"/>
      </w:divBdr>
    </w:div>
    <w:div w:id="1320966206">
      <w:bodyDiv w:val="1"/>
      <w:marLeft w:val="0"/>
      <w:marRight w:val="0"/>
      <w:marTop w:val="0"/>
      <w:marBottom w:val="0"/>
      <w:divBdr>
        <w:top w:val="none" w:sz="0" w:space="0" w:color="auto"/>
        <w:left w:val="none" w:sz="0" w:space="0" w:color="auto"/>
        <w:bottom w:val="none" w:sz="0" w:space="0" w:color="auto"/>
        <w:right w:val="none" w:sz="0" w:space="0" w:color="auto"/>
      </w:divBdr>
    </w:div>
    <w:div w:id="1335038176">
      <w:bodyDiv w:val="1"/>
      <w:marLeft w:val="0"/>
      <w:marRight w:val="0"/>
      <w:marTop w:val="0"/>
      <w:marBottom w:val="0"/>
      <w:divBdr>
        <w:top w:val="none" w:sz="0" w:space="0" w:color="auto"/>
        <w:left w:val="none" w:sz="0" w:space="0" w:color="auto"/>
        <w:bottom w:val="none" w:sz="0" w:space="0" w:color="auto"/>
        <w:right w:val="none" w:sz="0" w:space="0" w:color="auto"/>
      </w:divBdr>
    </w:div>
    <w:div w:id="1540626516">
      <w:bodyDiv w:val="1"/>
      <w:marLeft w:val="0"/>
      <w:marRight w:val="0"/>
      <w:marTop w:val="0"/>
      <w:marBottom w:val="0"/>
      <w:divBdr>
        <w:top w:val="none" w:sz="0" w:space="0" w:color="auto"/>
        <w:left w:val="none" w:sz="0" w:space="0" w:color="auto"/>
        <w:bottom w:val="none" w:sz="0" w:space="0" w:color="auto"/>
        <w:right w:val="none" w:sz="0" w:space="0" w:color="auto"/>
      </w:divBdr>
    </w:div>
    <w:div w:id="1600870527">
      <w:bodyDiv w:val="1"/>
      <w:marLeft w:val="0"/>
      <w:marRight w:val="0"/>
      <w:marTop w:val="0"/>
      <w:marBottom w:val="0"/>
      <w:divBdr>
        <w:top w:val="none" w:sz="0" w:space="0" w:color="auto"/>
        <w:left w:val="none" w:sz="0" w:space="0" w:color="auto"/>
        <w:bottom w:val="none" w:sz="0" w:space="0" w:color="auto"/>
        <w:right w:val="none" w:sz="0" w:space="0" w:color="auto"/>
      </w:divBdr>
    </w:div>
    <w:div w:id="1684286223">
      <w:bodyDiv w:val="1"/>
      <w:marLeft w:val="0"/>
      <w:marRight w:val="0"/>
      <w:marTop w:val="0"/>
      <w:marBottom w:val="0"/>
      <w:divBdr>
        <w:top w:val="none" w:sz="0" w:space="0" w:color="auto"/>
        <w:left w:val="none" w:sz="0" w:space="0" w:color="auto"/>
        <w:bottom w:val="none" w:sz="0" w:space="0" w:color="auto"/>
        <w:right w:val="none" w:sz="0" w:space="0" w:color="auto"/>
      </w:divBdr>
      <w:divsChild>
        <w:div w:id="31275614">
          <w:marLeft w:val="0"/>
          <w:marRight w:val="0"/>
          <w:marTop w:val="0"/>
          <w:marBottom w:val="0"/>
          <w:divBdr>
            <w:top w:val="none" w:sz="0" w:space="0" w:color="auto"/>
            <w:left w:val="none" w:sz="0" w:space="0" w:color="auto"/>
            <w:bottom w:val="none" w:sz="0" w:space="0" w:color="auto"/>
            <w:right w:val="none" w:sz="0" w:space="0" w:color="auto"/>
          </w:divBdr>
        </w:div>
        <w:div w:id="58552958">
          <w:marLeft w:val="0"/>
          <w:marRight w:val="0"/>
          <w:marTop w:val="0"/>
          <w:marBottom w:val="0"/>
          <w:divBdr>
            <w:top w:val="none" w:sz="0" w:space="0" w:color="auto"/>
            <w:left w:val="none" w:sz="0" w:space="0" w:color="auto"/>
            <w:bottom w:val="none" w:sz="0" w:space="0" w:color="auto"/>
            <w:right w:val="none" w:sz="0" w:space="0" w:color="auto"/>
          </w:divBdr>
        </w:div>
        <w:div w:id="109249113">
          <w:marLeft w:val="0"/>
          <w:marRight w:val="0"/>
          <w:marTop w:val="0"/>
          <w:marBottom w:val="0"/>
          <w:divBdr>
            <w:top w:val="none" w:sz="0" w:space="0" w:color="auto"/>
            <w:left w:val="none" w:sz="0" w:space="0" w:color="auto"/>
            <w:bottom w:val="none" w:sz="0" w:space="0" w:color="auto"/>
            <w:right w:val="none" w:sz="0" w:space="0" w:color="auto"/>
          </w:divBdr>
        </w:div>
        <w:div w:id="569582287">
          <w:marLeft w:val="0"/>
          <w:marRight w:val="0"/>
          <w:marTop w:val="0"/>
          <w:marBottom w:val="0"/>
          <w:divBdr>
            <w:top w:val="none" w:sz="0" w:space="0" w:color="auto"/>
            <w:left w:val="none" w:sz="0" w:space="0" w:color="auto"/>
            <w:bottom w:val="none" w:sz="0" w:space="0" w:color="auto"/>
            <w:right w:val="none" w:sz="0" w:space="0" w:color="auto"/>
          </w:divBdr>
        </w:div>
        <w:div w:id="668101559">
          <w:marLeft w:val="0"/>
          <w:marRight w:val="0"/>
          <w:marTop w:val="0"/>
          <w:marBottom w:val="0"/>
          <w:divBdr>
            <w:top w:val="none" w:sz="0" w:space="0" w:color="auto"/>
            <w:left w:val="none" w:sz="0" w:space="0" w:color="auto"/>
            <w:bottom w:val="none" w:sz="0" w:space="0" w:color="auto"/>
            <w:right w:val="none" w:sz="0" w:space="0" w:color="auto"/>
          </w:divBdr>
        </w:div>
        <w:div w:id="738677430">
          <w:marLeft w:val="0"/>
          <w:marRight w:val="0"/>
          <w:marTop w:val="0"/>
          <w:marBottom w:val="0"/>
          <w:divBdr>
            <w:top w:val="none" w:sz="0" w:space="0" w:color="auto"/>
            <w:left w:val="none" w:sz="0" w:space="0" w:color="auto"/>
            <w:bottom w:val="none" w:sz="0" w:space="0" w:color="auto"/>
            <w:right w:val="none" w:sz="0" w:space="0" w:color="auto"/>
          </w:divBdr>
        </w:div>
        <w:div w:id="1386375373">
          <w:marLeft w:val="0"/>
          <w:marRight w:val="0"/>
          <w:marTop w:val="0"/>
          <w:marBottom w:val="0"/>
          <w:divBdr>
            <w:top w:val="none" w:sz="0" w:space="0" w:color="auto"/>
            <w:left w:val="none" w:sz="0" w:space="0" w:color="auto"/>
            <w:bottom w:val="none" w:sz="0" w:space="0" w:color="auto"/>
            <w:right w:val="none" w:sz="0" w:space="0" w:color="auto"/>
          </w:divBdr>
        </w:div>
        <w:div w:id="1627656160">
          <w:marLeft w:val="0"/>
          <w:marRight w:val="0"/>
          <w:marTop w:val="0"/>
          <w:marBottom w:val="0"/>
          <w:divBdr>
            <w:top w:val="none" w:sz="0" w:space="0" w:color="auto"/>
            <w:left w:val="none" w:sz="0" w:space="0" w:color="auto"/>
            <w:bottom w:val="none" w:sz="0" w:space="0" w:color="auto"/>
            <w:right w:val="none" w:sz="0" w:space="0" w:color="auto"/>
          </w:divBdr>
        </w:div>
        <w:div w:id="1880625083">
          <w:marLeft w:val="0"/>
          <w:marRight w:val="0"/>
          <w:marTop w:val="0"/>
          <w:marBottom w:val="0"/>
          <w:divBdr>
            <w:top w:val="none" w:sz="0" w:space="0" w:color="auto"/>
            <w:left w:val="none" w:sz="0" w:space="0" w:color="auto"/>
            <w:bottom w:val="none" w:sz="0" w:space="0" w:color="auto"/>
            <w:right w:val="none" w:sz="0" w:space="0" w:color="auto"/>
          </w:divBdr>
        </w:div>
      </w:divsChild>
    </w:div>
    <w:div w:id="1702441355">
      <w:bodyDiv w:val="1"/>
      <w:marLeft w:val="0"/>
      <w:marRight w:val="0"/>
      <w:marTop w:val="0"/>
      <w:marBottom w:val="0"/>
      <w:divBdr>
        <w:top w:val="none" w:sz="0" w:space="0" w:color="auto"/>
        <w:left w:val="none" w:sz="0" w:space="0" w:color="auto"/>
        <w:bottom w:val="none" w:sz="0" w:space="0" w:color="auto"/>
        <w:right w:val="none" w:sz="0" w:space="0" w:color="auto"/>
      </w:divBdr>
    </w:div>
    <w:div w:id="1770857978">
      <w:bodyDiv w:val="1"/>
      <w:marLeft w:val="0"/>
      <w:marRight w:val="0"/>
      <w:marTop w:val="0"/>
      <w:marBottom w:val="0"/>
      <w:divBdr>
        <w:top w:val="none" w:sz="0" w:space="0" w:color="auto"/>
        <w:left w:val="none" w:sz="0" w:space="0" w:color="auto"/>
        <w:bottom w:val="none" w:sz="0" w:space="0" w:color="auto"/>
        <w:right w:val="none" w:sz="0" w:space="0" w:color="auto"/>
      </w:divBdr>
    </w:div>
    <w:div w:id="1847865506">
      <w:bodyDiv w:val="1"/>
      <w:marLeft w:val="0"/>
      <w:marRight w:val="0"/>
      <w:marTop w:val="0"/>
      <w:marBottom w:val="0"/>
      <w:divBdr>
        <w:top w:val="none" w:sz="0" w:space="0" w:color="auto"/>
        <w:left w:val="none" w:sz="0" w:space="0" w:color="auto"/>
        <w:bottom w:val="none" w:sz="0" w:space="0" w:color="auto"/>
        <w:right w:val="none" w:sz="0" w:space="0" w:color="auto"/>
      </w:divBdr>
    </w:div>
    <w:div w:id="1905140018">
      <w:bodyDiv w:val="1"/>
      <w:marLeft w:val="0"/>
      <w:marRight w:val="0"/>
      <w:marTop w:val="0"/>
      <w:marBottom w:val="0"/>
      <w:divBdr>
        <w:top w:val="none" w:sz="0" w:space="0" w:color="auto"/>
        <w:left w:val="none" w:sz="0" w:space="0" w:color="auto"/>
        <w:bottom w:val="none" w:sz="0" w:space="0" w:color="auto"/>
        <w:right w:val="none" w:sz="0" w:space="0" w:color="auto"/>
      </w:divBdr>
    </w:div>
    <w:div w:id="1951668147">
      <w:bodyDiv w:val="1"/>
      <w:marLeft w:val="0"/>
      <w:marRight w:val="0"/>
      <w:marTop w:val="0"/>
      <w:marBottom w:val="0"/>
      <w:divBdr>
        <w:top w:val="none" w:sz="0" w:space="0" w:color="auto"/>
        <w:left w:val="none" w:sz="0" w:space="0" w:color="auto"/>
        <w:bottom w:val="none" w:sz="0" w:space="0" w:color="auto"/>
        <w:right w:val="none" w:sz="0" w:space="0" w:color="auto"/>
      </w:divBdr>
    </w:div>
    <w:div w:id="1967813819">
      <w:bodyDiv w:val="1"/>
      <w:marLeft w:val="0"/>
      <w:marRight w:val="0"/>
      <w:marTop w:val="0"/>
      <w:marBottom w:val="0"/>
      <w:divBdr>
        <w:top w:val="none" w:sz="0" w:space="0" w:color="auto"/>
        <w:left w:val="none" w:sz="0" w:space="0" w:color="auto"/>
        <w:bottom w:val="none" w:sz="0" w:space="0" w:color="auto"/>
        <w:right w:val="none" w:sz="0" w:space="0" w:color="auto"/>
      </w:divBdr>
    </w:div>
    <w:div w:id="1979534885">
      <w:bodyDiv w:val="1"/>
      <w:marLeft w:val="0"/>
      <w:marRight w:val="0"/>
      <w:marTop w:val="0"/>
      <w:marBottom w:val="0"/>
      <w:divBdr>
        <w:top w:val="none" w:sz="0" w:space="0" w:color="auto"/>
        <w:left w:val="none" w:sz="0" w:space="0" w:color="auto"/>
        <w:bottom w:val="none" w:sz="0" w:space="0" w:color="auto"/>
        <w:right w:val="none" w:sz="0" w:space="0" w:color="auto"/>
      </w:divBdr>
      <w:divsChild>
        <w:div w:id="600647679">
          <w:marLeft w:val="0"/>
          <w:marRight w:val="0"/>
          <w:marTop w:val="0"/>
          <w:marBottom w:val="0"/>
          <w:divBdr>
            <w:top w:val="none" w:sz="0" w:space="0" w:color="auto"/>
            <w:left w:val="none" w:sz="0" w:space="0" w:color="auto"/>
            <w:bottom w:val="none" w:sz="0" w:space="0" w:color="auto"/>
            <w:right w:val="none" w:sz="0" w:space="0" w:color="auto"/>
          </w:divBdr>
        </w:div>
        <w:div w:id="1803842277">
          <w:marLeft w:val="0"/>
          <w:marRight w:val="0"/>
          <w:marTop w:val="0"/>
          <w:marBottom w:val="0"/>
          <w:divBdr>
            <w:top w:val="none" w:sz="0" w:space="0" w:color="auto"/>
            <w:left w:val="none" w:sz="0" w:space="0" w:color="auto"/>
            <w:bottom w:val="none" w:sz="0" w:space="0" w:color="auto"/>
            <w:right w:val="none" w:sz="0" w:space="0" w:color="auto"/>
          </w:divBdr>
        </w:div>
        <w:div w:id="1937132062">
          <w:marLeft w:val="0"/>
          <w:marRight w:val="0"/>
          <w:marTop w:val="0"/>
          <w:marBottom w:val="0"/>
          <w:divBdr>
            <w:top w:val="none" w:sz="0" w:space="0" w:color="auto"/>
            <w:left w:val="none" w:sz="0" w:space="0" w:color="auto"/>
            <w:bottom w:val="none" w:sz="0" w:space="0" w:color="auto"/>
            <w:right w:val="none" w:sz="0" w:space="0" w:color="auto"/>
          </w:divBdr>
        </w:div>
        <w:div w:id="1994095154">
          <w:marLeft w:val="0"/>
          <w:marRight w:val="0"/>
          <w:marTop w:val="0"/>
          <w:marBottom w:val="0"/>
          <w:divBdr>
            <w:top w:val="none" w:sz="0" w:space="0" w:color="auto"/>
            <w:left w:val="none" w:sz="0" w:space="0" w:color="auto"/>
            <w:bottom w:val="none" w:sz="0" w:space="0" w:color="auto"/>
            <w:right w:val="none" w:sz="0" w:space="0" w:color="auto"/>
          </w:divBdr>
        </w:div>
      </w:divsChild>
    </w:div>
    <w:div w:id="198253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ntralot.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r@intralot.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fatos@intralot.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services.choruscall.eu/links/intralot18Q1.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A4F9-DEBE-4E96-8B5F-4BBBA305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3309</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21260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tzimou@intralot.com</dc:creator>
  <cp:keywords/>
  <cp:lastModifiedBy>Sotiropoulos Vassilios</cp:lastModifiedBy>
  <cp:revision>3</cp:revision>
  <cp:lastPrinted>2018-03-15T10:32:00Z</cp:lastPrinted>
  <dcterms:created xsi:type="dcterms:W3CDTF">2018-05-30T14:12:00Z</dcterms:created>
  <dcterms:modified xsi:type="dcterms:W3CDTF">2018-05-30T16:39:00Z</dcterms:modified>
</cp:coreProperties>
</file>